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F2D6E"/>
          <w:sz w:val="36"/>
          <w:szCs w:val="36"/>
        </w:rPr>
        <w:t xml:space="preserve">Data Protection Policy</w:t>
      </w:r>
    </w:p>
    <w:p>
      <w:pPr>
        <w:spacing w:after="1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500"/>
        <w:gridCol w:w="5526"/>
      </w:tblGrid>
      <w:tr>
        <w:tc>
          <w:tcPr>
            <w:tcW w:type="dxa" w:w="3500"/>
            <w:tcBorders>
              <w:top w:val="single" w:color="CCCCCC" w:sz="1"/>
              <w:left w:val="single" w:color="CCCCCC" w:sz="1"/>
              <w:bottom w:val="single" w:color="CCCCCC" w:sz="1"/>
              <w:right w:val="single" w:color="CCCCCC" w:sz="1"/>
            </w:tcBorders>
            <w:shd w:fill="D6E4F0" w:val="clear"/>
            <w:tcMar>
              <w:top w:type="dxa" w:w="80"/>
              <w:left w:type="dxa" w:w="160"/>
              <w:bottom w:type="dxa" w:w="80"/>
              <w:right w:type="dxa" w:w="160"/>
            </w:tcMar>
          </w:tcPr>
          <w:p>
            <w:r>
              <w:rPr>
                <w:rFonts w:ascii="Arial" w:cs="Arial" w:eastAsia="Arial" w:hAnsi="Arial"/>
                <w:b/>
                <w:bCs/>
                <w:color w:val="1F2D6E"/>
                <w:sz w:val="22"/>
                <w:szCs w:val="22"/>
              </w:rPr>
              <w:t xml:space="preserve">Headteacher</w:t>
            </w:r>
          </w:p>
        </w:tc>
        <w:tc>
          <w:tcPr>
            <w:tcW w:type="dxa" w:w="5526"/>
            <w:tcBorders>
              <w:top w:val="single" w:color="CCCCCC" w:sz="1"/>
              <w:left w:val="single" w:color="CCCCCC" w:sz="1"/>
              <w:bottom w:val="single" w:color="CCCCCC" w:sz="1"/>
              <w:right w:val="single" w:color="CCCCCC" w:sz="1"/>
            </w:tcBorders>
            <w:tcMar>
              <w:top w:type="dxa" w:w="80"/>
              <w:left w:type="dxa" w:w="160"/>
              <w:bottom w:type="dxa" w:w="80"/>
              <w:right w:type="dxa" w:w="160"/>
            </w:tcMar>
          </w:tcPr>
          <w:p>
            <w:pPr>
              <w:spacing w:after="40"/>
            </w:pPr>
            <w:r>
              <w:rPr>
                <w:rFonts w:ascii="Arial" w:cs="Arial" w:eastAsia="Arial" w:hAnsi="Arial"/>
                <w:sz w:val="22"/>
                <w:szCs w:val="22"/>
              </w:rPr>
              <w:t xml:space="preserve">Mrs Reynecke-Raybould</w:t>
            </w:r>
          </w:p>
        </w:tc>
      </w:tr>
      <w:tr>
        <w:tc>
          <w:tcPr>
            <w:tcW w:type="dxa" w:w="3500"/>
            <w:tcBorders>
              <w:top w:val="single" w:color="CCCCCC" w:sz="1"/>
              <w:left w:val="single" w:color="CCCCCC" w:sz="1"/>
              <w:bottom w:val="single" w:color="CCCCCC" w:sz="1"/>
              <w:right w:val="single" w:color="CCCCCC" w:sz="1"/>
            </w:tcBorders>
            <w:shd w:fill="D6E4F0" w:val="clear"/>
            <w:tcMar>
              <w:top w:type="dxa" w:w="80"/>
              <w:left w:type="dxa" w:w="160"/>
              <w:bottom w:type="dxa" w:w="80"/>
              <w:right w:type="dxa" w:w="160"/>
            </w:tcMar>
          </w:tcPr>
          <w:p>
            <w:r>
              <w:rPr>
                <w:rFonts w:ascii="Arial" w:cs="Arial" w:eastAsia="Arial" w:hAnsi="Arial"/>
                <w:b/>
                <w:bCs/>
                <w:color w:val="1F2D6E"/>
                <w:sz w:val="22"/>
                <w:szCs w:val="22"/>
              </w:rPr>
              <w:t xml:space="preserve">Data Protection Officer (DPO)</w:t>
            </w:r>
          </w:p>
        </w:tc>
        <w:tc>
          <w:tcPr>
            <w:tcW w:type="dxa" w:w="5526"/>
            <w:tcBorders>
              <w:top w:val="single" w:color="CCCCCC" w:sz="1"/>
              <w:left w:val="single" w:color="CCCCCC" w:sz="1"/>
              <w:bottom w:val="single" w:color="CCCCCC" w:sz="1"/>
              <w:right w:val="single" w:color="CCCCCC" w:sz="1"/>
            </w:tcBorders>
            <w:tcMar>
              <w:top w:type="dxa" w:w="80"/>
              <w:left w:type="dxa" w:w="160"/>
              <w:bottom w:type="dxa" w:w="80"/>
              <w:right w:type="dxa" w:w="160"/>
            </w:tcMar>
          </w:tcPr>
          <w:p>
            <w:pPr>
              <w:spacing w:after="40"/>
            </w:pPr>
            <w:r>
              <w:rPr>
                <w:rFonts w:ascii="Arial" w:cs="Arial" w:eastAsia="Arial" w:hAnsi="Arial"/>
                <w:sz w:val="22"/>
                <w:szCs w:val="22"/>
              </w:rPr>
              <w:t xml:space="preserve">Information Governance Support (IGS)</w:t>
            </w:r>
          </w:p>
          <w:p>
            <w:pPr>
              <w:spacing w:after="40"/>
            </w:pPr>
            <w:r>
              <w:rPr>
                <w:rFonts w:ascii="Arial" w:cs="Arial" w:eastAsia="Arial" w:hAnsi="Arial"/>
                <w:sz w:val="22"/>
                <w:szCs w:val="22"/>
              </w:rPr>
              <w:t xml:space="preserve">igs@essex.gov.uk | 03330 322970</w:t>
            </w:r>
          </w:p>
        </w:tc>
      </w:tr>
      <w:tr>
        <w:tc>
          <w:tcPr>
            <w:tcW w:type="dxa" w:w="3500"/>
            <w:tcBorders>
              <w:top w:val="single" w:color="CCCCCC" w:sz="1"/>
              <w:left w:val="single" w:color="CCCCCC" w:sz="1"/>
              <w:bottom w:val="single" w:color="CCCCCC" w:sz="1"/>
              <w:right w:val="single" w:color="CCCCCC" w:sz="1"/>
            </w:tcBorders>
            <w:shd w:fill="D6E4F0" w:val="clear"/>
            <w:tcMar>
              <w:top w:type="dxa" w:w="80"/>
              <w:left w:type="dxa" w:w="160"/>
              <w:bottom w:type="dxa" w:w="80"/>
              <w:right w:type="dxa" w:w="160"/>
            </w:tcMar>
          </w:tcPr>
          <w:p>
            <w:r>
              <w:rPr>
                <w:rFonts w:ascii="Arial" w:cs="Arial" w:eastAsia="Arial" w:hAnsi="Arial"/>
                <w:b/>
                <w:bCs/>
                <w:color w:val="1F2D6E"/>
                <w:sz w:val="22"/>
                <w:szCs w:val="22"/>
              </w:rPr>
              <w:t xml:space="preserve">Adopted by Governors</w:t>
            </w:r>
          </w:p>
        </w:tc>
        <w:tc>
          <w:tcPr>
            <w:tcW w:type="dxa" w:w="5526"/>
            <w:tcBorders>
              <w:top w:val="single" w:color="CCCCCC" w:sz="1"/>
              <w:left w:val="single" w:color="CCCCCC" w:sz="1"/>
              <w:bottom w:val="single" w:color="CCCCCC" w:sz="1"/>
              <w:right w:val="single" w:color="CCCCCC" w:sz="1"/>
            </w:tcBorders>
            <w:tcMar>
              <w:top w:type="dxa" w:w="80"/>
              <w:left w:type="dxa" w:w="160"/>
              <w:bottom w:type="dxa" w:w="80"/>
              <w:right w:type="dxa" w:w="160"/>
            </w:tcMar>
          </w:tcPr>
          <w:p>
            <w:pPr>
              <w:spacing w:after="40"/>
            </w:pPr>
            <w:r>
              <w:rPr>
                <w:rFonts w:ascii="Arial" w:cs="Arial" w:eastAsia="Arial" w:hAnsi="Arial"/>
                <w:sz w:val="22"/>
                <w:szCs w:val="22"/>
              </w:rPr>
              <w:t xml:space="preserve">July 2026</w:t>
            </w:r>
          </w:p>
        </w:tc>
      </w:tr>
      <w:tr>
        <w:tc>
          <w:tcPr>
            <w:tcW w:type="dxa" w:w="3500"/>
            <w:tcBorders>
              <w:top w:val="single" w:color="CCCCCC" w:sz="1"/>
              <w:left w:val="single" w:color="CCCCCC" w:sz="1"/>
              <w:bottom w:val="single" w:color="CCCCCC" w:sz="1"/>
              <w:right w:val="single" w:color="CCCCCC" w:sz="1"/>
            </w:tcBorders>
            <w:shd w:fill="D6E4F0" w:val="clear"/>
            <w:tcMar>
              <w:top w:type="dxa" w:w="80"/>
              <w:left w:type="dxa" w:w="160"/>
              <w:bottom w:type="dxa" w:w="80"/>
              <w:right w:type="dxa" w:w="160"/>
            </w:tcMar>
          </w:tcPr>
          <w:p>
            <w:r>
              <w:rPr>
                <w:rFonts w:ascii="Arial" w:cs="Arial" w:eastAsia="Arial" w:hAnsi="Arial"/>
                <w:b/>
                <w:bCs/>
                <w:color w:val="1F2D6E"/>
                <w:sz w:val="22"/>
                <w:szCs w:val="22"/>
              </w:rPr>
              <w:t xml:space="preserve">Policy’s next review date</w:t>
            </w:r>
          </w:p>
        </w:tc>
        <w:tc>
          <w:tcPr>
            <w:tcW w:type="dxa" w:w="5526"/>
            <w:tcBorders>
              <w:top w:val="single" w:color="CCCCCC" w:sz="1"/>
              <w:left w:val="single" w:color="CCCCCC" w:sz="1"/>
              <w:bottom w:val="single" w:color="CCCCCC" w:sz="1"/>
              <w:right w:val="single" w:color="CCCCCC" w:sz="1"/>
            </w:tcBorders>
            <w:tcMar>
              <w:top w:type="dxa" w:w="80"/>
              <w:left w:type="dxa" w:w="160"/>
              <w:bottom w:type="dxa" w:w="80"/>
              <w:right w:type="dxa" w:w="160"/>
            </w:tcMar>
          </w:tcPr>
          <w:p>
            <w:pPr>
              <w:spacing w:after="40"/>
            </w:pPr>
            <w:r>
              <w:rPr>
                <w:rFonts w:ascii="Arial" w:cs="Arial" w:eastAsia="Arial" w:hAnsi="Arial"/>
                <w:sz w:val="22"/>
                <w:szCs w:val="22"/>
              </w:rPr>
              <w:t xml:space="preserve">December 2026</w:t>
            </w:r>
          </w:p>
        </w:tc>
      </w:tr>
      <w:tr>
        <w:tc>
          <w:tcPr>
            <w:tcW w:type="dxa" w:w="3500"/>
            <w:tcBorders>
              <w:top w:val="single" w:color="CCCCCC" w:sz="1"/>
              <w:left w:val="single" w:color="CCCCCC" w:sz="1"/>
              <w:bottom w:val="single" w:color="CCCCCC" w:sz="1"/>
              <w:right w:val="single" w:color="CCCCCC" w:sz="1"/>
            </w:tcBorders>
            <w:shd w:fill="D6E4F0" w:val="clear"/>
            <w:tcMar>
              <w:top w:type="dxa" w:w="80"/>
              <w:left w:type="dxa" w:w="160"/>
              <w:bottom w:type="dxa" w:w="80"/>
              <w:right w:type="dxa" w:w="160"/>
            </w:tcMar>
          </w:tcPr>
          <w:p>
            <w:r>
              <w:rPr>
                <w:rFonts w:ascii="Arial" w:cs="Arial" w:eastAsia="Arial" w:hAnsi="Arial"/>
                <w:b/>
                <w:bCs/>
                <w:color w:val="1F2D6E"/>
                <w:sz w:val="22"/>
                <w:szCs w:val="22"/>
              </w:rPr>
              <w:t xml:space="preserve">Chair of Governors</w:t>
            </w:r>
          </w:p>
        </w:tc>
        <w:tc>
          <w:tcPr>
            <w:tcW w:type="dxa" w:w="5526"/>
            <w:tcBorders>
              <w:top w:val="single" w:color="CCCCCC" w:sz="1"/>
              <w:left w:val="single" w:color="CCCCCC" w:sz="1"/>
              <w:bottom w:val="single" w:color="CCCCCC" w:sz="1"/>
              <w:right w:val="single" w:color="CCCCCC" w:sz="1"/>
            </w:tcBorders>
            <w:tcMar>
              <w:top w:type="dxa" w:w="80"/>
              <w:left w:type="dxa" w:w="160"/>
              <w:bottom w:type="dxa" w:w="80"/>
              <w:right w:type="dxa" w:w="160"/>
            </w:tcMar>
          </w:tcPr>
          <w:p>
            <w:pPr>
              <w:spacing w:after="40"/>
            </w:pPr>
            <w:r>
              <w:rPr>
                <w:rFonts w:ascii="Arial" w:cs="Arial" w:eastAsia="Arial" w:hAnsi="Arial"/>
                <w:sz w:val="22"/>
                <w:szCs w:val="22"/>
              </w:rPr>
              <w:t xml:space="preserve">Rev. Brenda Brundritt</w:t>
            </w:r>
          </w:p>
        </w:tc>
      </w:tr>
      <w:tr>
        <w:tc>
          <w:tcPr>
            <w:tcW w:type="dxa" w:w="3500"/>
            <w:tcBorders>
              <w:top w:val="single" w:color="CCCCCC" w:sz="1"/>
              <w:left w:val="single" w:color="CCCCCC" w:sz="1"/>
              <w:bottom w:val="single" w:color="CCCCCC" w:sz="1"/>
              <w:right w:val="single" w:color="CCCCCC" w:sz="1"/>
            </w:tcBorders>
            <w:shd w:fill="D6E4F0" w:val="clear"/>
            <w:tcMar>
              <w:top w:type="dxa" w:w="80"/>
              <w:left w:type="dxa" w:w="160"/>
              <w:bottom w:type="dxa" w:w="80"/>
              <w:right w:type="dxa" w:w="160"/>
            </w:tcMar>
          </w:tcPr>
          <w:p>
            <w:r>
              <w:rPr>
                <w:rFonts w:ascii="Arial" w:cs="Arial" w:eastAsia="Arial" w:hAnsi="Arial"/>
                <w:b/>
                <w:bCs/>
                <w:color w:val="1F2D6E"/>
                <w:sz w:val="22"/>
                <w:szCs w:val="22"/>
              </w:rPr>
              <w:t xml:space="preserve">Review cycle</w:t>
            </w:r>
          </w:p>
        </w:tc>
        <w:tc>
          <w:tcPr>
            <w:tcW w:type="dxa" w:w="5526"/>
            <w:tcBorders>
              <w:top w:val="single" w:color="CCCCCC" w:sz="1"/>
              <w:left w:val="single" w:color="CCCCCC" w:sz="1"/>
              <w:bottom w:val="single" w:color="CCCCCC" w:sz="1"/>
              <w:right w:val="single" w:color="CCCCCC" w:sz="1"/>
            </w:tcBorders>
            <w:tcMar>
              <w:top w:type="dxa" w:w="80"/>
              <w:left w:type="dxa" w:w="160"/>
              <w:bottom w:type="dxa" w:w="80"/>
              <w:right w:type="dxa" w:w="160"/>
            </w:tcMar>
          </w:tcPr>
          <w:p>
            <w:pPr>
              <w:spacing w:after="40"/>
            </w:pPr>
            <w:r>
              <w:rPr>
                <w:rFonts w:ascii="Arial" w:cs="Arial" w:eastAsia="Arial" w:hAnsi="Arial"/>
                <w:sz w:val="22"/>
                <w:szCs w:val="22"/>
              </w:rPr>
              <w:t xml:space="preserve">Annual</w:t>
            </w:r>
          </w:p>
        </w:tc>
      </w:tr>
      <w:tr>
        <w:tc>
          <w:tcPr>
            <w:tcW w:type="dxa" w:w="3500"/>
            <w:tcBorders>
              <w:top w:val="single" w:color="CCCCCC" w:sz="1"/>
              <w:left w:val="single" w:color="CCCCCC" w:sz="1"/>
              <w:bottom w:val="single" w:color="CCCCCC" w:sz="1"/>
              <w:right w:val="single" w:color="CCCCCC" w:sz="1"/>
            </w:tcBorders>
            <w:shd w:fill="D6E4F0" w:val="clear"/>
            <w:tcMar>
              <w:top w:type="dxa" w:w="80"/>
              <w:left w:type="dxa" w:w="160"/>
              <w:bottom w:type="dxa" w:w="80"/>
              <w:right w:type="dxa" w:w="160"/>
            </w:tcMar>
          </w:tcPr>
          <w:p>
            <w:r>
              <w:rPr>
                <w:rFonts w:ascii="Arial" w:cs="Arial" w:eastAsia="Arial" w:hAnsi="Arial"/>
                <w:b/>
                <w:bCs/>
                <w:color w:val="1F2D6E"/>
                <w:sz w:val="22"/>
                <w:szCs w:val="22"/>
              </w:rPr>
              <w:t xml:space="preserve">Published on school website</w:t>
            </w:r>
          </w:p>
        </w:tc>
        <w:tc>
          <w:tcPr>
            <w:tcW w:type="dxa" w:w="5526"/>
            <w:tcBorders>
              <w:top w:val="single" w:color="CCCCCC" w:sz="1"/>
              <w:left w:val="single" w:color="CCCCCC" w:sz="1"/>
              <w:bottom w:val="single" w:color="CCCCCC" w:sz="1"/>
              <w:right w:val="single" w:color="CCCCCC" w:sz="1"/>
            </w:tcBorders>
            <w:tcMar>
              <w:top w:type="dxa" w:w="80"/>
              <w:left w:type="dxa" w:w="160"/>
              <w:bottom w:type="dxa" w:w="80"/>
              <w:right w:type="dxa" w:w="160"/>
            </w:tcMar>
          </w:tcPr>
          <w:p>
            <w:pPr>
              <w:spacing w:after="40"/>
            </w:pPr>
            <w:r>
              <w:rPr>
                <w:rFonts w:ascii="Arial" w:cs="Arial" w:eastAsia="Arial" w:hAnsi="Arial"/>
                <w:sz w:val="22"/>
                <w:szCs w:val="22"/>
              </w:rPr>
              <w:t xml:space="preserve">Yes — statutory requirement</w:t>
            </w:r>
          </w:p>
        </w:tc>
      </w:tr>
      <w:tr>
        <w:tc>
          <w:tcPr>
            <w:tcW w:type="dxa" w:w="3500"/>
            <w:tcBorders>
              <w:top w:val="single" w:color="CCCCCC" w:sz="1"/>
              <w:left w:val="single" w:color="CCCCCC" w:sz="1"/>
              <w:bottom w:val="single" w:color="CCCCCC" w:sz="1"/>
              <w:right w:val="single" w:color="CCCCCC" w:sz="1"/>
            </w:tcBorders>
            <w:shd w:fill="D6E4F0" w:val="clear"/>
            <w:tcMar>
              <w:top w:type="dxa" w:w="80"/>
              <w:left w:type="dxa" w:w="160"/>
              <w:bottom w:type="dxa" w:w="80"/>
              <w:right w:type="dxa" w:w="160"/>
            </w:tcMar>
          </w:tcPr>
          <w:p>
            <w:r>
              <w:rPr>
                <w:rFonts w:ascii="Arial" w:cs="Arial" w:eastAsia="Arial" w:hAnsi="Arial"/>
                <w:b/>
                <w:bCs/>
                <w:color w:val="1F2D6E"/>
                <w:sz w:val="22"/>
                <w:szCs w:val="22"/>
              </w:rPr>
              <w:t xml:space="preserve">Legislative basis</w:t>
            </w:r>
          </w:p>
        </w:tc>
        <w:tc>
          <w:tcPr>
            <w:tcW w:type="dxa" w:w="5526"/>
            <w:tcBorders>
              <w:top w:val="single" w:color="CCCCCC" w:sz="1"/>
              <w:left w:val="single" w:color="CCCCCC" w:sz="1"/>
              <w:bottom w:val="single" w:color="CCCCCC" w:sz="1"/>
              <w:right w:val="single" w:color="CCCCCC" w:sz="1"/>
            </w:tcBorders>
            <w:tcMar>
              <w:top w:type="dxa" w:w="80"/>
              <w:left w:type="dxa" w:w="160"/>
              <w:bottom w:type="dxa" w:w="80"/>
              <w:right w:type="dxa" w:w="160"/>
            </w:tcMar>
          </w:tcPr>
          <w:p>
            <w:pPr>
              <w:spacing w:after="40"/>
            </w:pPr>
            <w:r>
              <w:rPr>
                <w:rFonts w:ascii="Arial" w:cs="Arial" w:eastAsia="Arial" w:hAnsi="Arial"/>
                <w:sz w:val="22"/>
                <w:szCs w:val="22"/>
              </w:rPr>
              <w:t xml:space="preserve">UK GDPR; Data Protection Act 2018; Data Use and Access Act 2025; Human Rights Act 1998; Freedom of Information Act 2000</w:t>
            </w:r>
          </w:p>
        </w:tc>
      </w:tr>
    </w:tbl>
    <w:p>
      <w:pPr>
        <w:spacing w:after="200"/>
      </w:pPr>
      <w:r>
        <w:t xml:space="preserve"/>
      </w:r>
    </w:p>
    <w:p>
      <w:pPr>
        <w:spacing w:after="140" w:before="280"/>
      </w:pPr>
      <w:r>
        <w:rPr>
          <w:rFonts w:ascii="Arial" w:cs="Arial" w:eastAsia="Arial" w:hAnsi="Arial"/>
          <w:b/>
          <w:bCs/>
          <w:color w:val="1F2D6E"/>
          <w:sz w:val="26"/>
          <w:szCs w:val="26"/>
        </w:rPr>
        <w:t xml:space="preserve">Safeguarding Statement</w:t>
      </w:r>
    </w:p>
    <w:p>
      <w:pPr>
        <w:spacing w:after="140"/>
      </w:pPr>
      <w:r>
        <w:rPr>
          <w:rFonts w:ascii="Arial" w:cs="Arial" w:eastAsia="Arial" w:hAnsi="Arial"/>
          <w:sz w:val="22"/>
          <w:szCs w:val="22"/>
        </w:rPr>
        <w:t xml:space="preserve">Ashdon Primary School takes seriously its responsibility to protect the welfare of the children in its care, believing that “The welfare of the child is paramount” (Children Act 1989).</w:t>
      </w:r>
    </w:p>
    <w:p>
      <w:pPr>
        <w:spacing w:after="140"/>
      </w:pPr>
      <w:r>
        <w:rPr>
          <w:rFonts w:ascii="Arial" w:cs="Arial" w:eastAsia="Arial" w:hAnsi="Arial"/>
          <w:sz w:val="22"/>
          <w:szCs w:val="22"/>
        </w:rPr>
        <w:t xml:space="preserve">This policy plays an integral part in our aim to safeguard our children and ensure their wellbeing in order to promote their optimum development. The protection of personal data is an essential part of keeping children, families and staff safe.</w:t>
      </w:r>
    </w:p>
    <w:p>
      <w:pPr>
        <w:spacing w:after="160"/>
      </w:pPr>
      <w:r>
        <w:t xml:space="preserve"/>
      </w:r>
    </w:p>
    <w:p>
      <w:pPr>
        <w:spacing w:after="140" w:before="280"/>
      </w:pPr>
      <w:r>
        <w:rPr>
          <w:rFonts w:ascii="Arial" w:cs="Arial" w:eastAsia="Arial" w:hAnsi="Arial"/>
          <w:b/>
          <w:bCs/>
          <w:color w:val="1F2D6E"/>
          <w:sz w:val="26"/>
          <w:szCs w:val="26"/>
        </w:rPr>
        <w:t xml:space="preserve">Rationale</w:t>
      </w:r>
    </w:p>
    <w:p>
      <w:pPr>
        <w:spacing w:after="140"/>
      </w:pPr>
      <w:r>
        <w:rPr>
          <w:rFonts w:ascii="Arial" w:cs="Arial" w:eastAsia="Arial" w:hAnsi="Arial"/>
          <w:sz w:val="22"/>
          <w:szCs w:val="22"/>
        </w:rPr>
        <w:t xml:space="preserve">Ashdon Primary School processes a significant amount of personal data about pupils, families, staff and governors as part of its day-to-day operation. This data is essential to the provision of high quality education and care. We take our responsibilities as a data controller seriously and are committed to handling all personal data lawfully, securely and transparently.</w:t>
      </w:r>
    </w:p>
    <w:p>
      <w:pPr>
        <w:spacing w:after="140"/>
      </w:pPr>
      <w:r>
        <w:rPr>
          <w:rFonts w:ascii="Arial" w:cs="Arial" w:eastAsia="Arial" w:hAnsi="Arial"/>
          <w:sz w:val="22"/>
          <w:szCs w:val="22"/>
        </w:rPr>
        <w:t xml:space="preserve">Data protection is not just a legal obligation — it is a matter of trust. Families entrust us with sensitive information about their children. Staff share personal information with us as their employer. We handle this information with the same care and respect we bring to every aspect of school life.</w:t>
      </w:r>
    </w:p>
    <w:p>
      <w:pPr>
        <w:spacing w:after="140"/>
      </w:pPr>
      <w:r>
        <w:rPr>
          <w:rFonts w:ascii="Arial" w:cs="Arial" w:eastAsia="Arial" w:hAnsi="Arial"/>
          <w:sz w:val="22"/>
          <w:szCs w:val="22"/>
        </w:rPr>
        <w:t xml:space="preserve">This policy is written in line with the UK General Data Protection Regulation (UK GDPR), the Data Protection Act 2018 and the Data Use and Access Act 2025. It applies to all staff, governors, contractors and volunteers who process personal data on behalf of the school. Our Data Protection Officer (DPO) is Information Governance Support (IGS), provided by Essex County Council.</w:t>
      </w:r>
    </w:p>
    <w:p>
      <w:pPr>
        <w:spacing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00"/>
        <w:gridCol w:w="8626"/>
      </w:tblGrid>
      <w:tr>
        <w:tc>
          <w:tcPr>
            <w:tcW w:type="dxa" w:w="400"/>
            <w:tcBorders>
              <w:top w:val="none" w:color="FFFFFF" w:sz="0"/>
              <w:left w:val="none" w:color="FFFFFF" w:sz="0"/>
              <w:bottom w:val="none" w:color="FFFFFF" w:sz="0"/>
              <w:right w:val="none" w:color="FFFFFF" w:sz="0"/>
            </w:tcBorders>
            <w:shd w:fill="C9A227" w:val="clear"/>
          </w:tcPr>
          <w:p>
            <w:r>
              <w:t xml:space="preserve"/>
            </w:r>
          </w:p>
        </w:tc>
        <w:tc>
          <w:tcPr>
            <w:tcW w:type="dxa" w:w="8626"/>
            <w:tcBorders>
              <w:top w:val="none" w:color="FFFFFF" w:sz="0"/>
              <w:left w:val="none" w:color="FFFFFF" w:sz="0"/>
              <w:bottom w:val="none" w:color="FFFFFF" w:sz="0"/>
              <w:right w:val="none" w:color="FFFFFF" w:sz="0"/>
            </w:tcBorders>
            <w:shd w:fill="FDF3D0" w:val="clear"/>
            <w:tcMar>
              <w:top w:type="dxa" w:w="100"/>
              <w:left w:type="dxa" w:w="180"/>
              <w:bottom w:type="dxa" w:w="100"/>
              <w:right w:type="dxa" w:w="180"/>
            </w:tcMar>
          </w:tcPr>
          <w:p>
            <w:pPr>
              <w:spacing w:after="80"/>
            </w:pPr>
            <w:r>
              <w:rPr>
                <w:rFonts w:ascii="Arial" w:cs="Arial" w:eastAsia="Arial" w:hAnsi="Arial"/>
                <w:b/>
                <w:bCs/>
                <w:color w:val="7D5A00"/>
                <w:sz w:val="20"/>
                <w:szCs w:val="20"/>
              </w:rPr>
              <w:t xml:space="preserve">★ Our values in action:</w:t>
            </w:r>
          </w:p>
          <w:p>
            <w:pPr>
              <w:pStyle w:val="ListParagraph"/>
              <w:numPr>
                <w:ilvl w:val="0"/>
                <w:numId w:val="2"/>
              </w:numPr>
              <w:spacing w:after="60"/>
            </w:pPr>
            <w:r>
              <w:rPr>
                <w:rFonts w:ascii="Arial" w:cs="Arial" w:eastAsia="Arial" w:hAnsi="Arial"/>
                <w:i/>
                <w:iCs/>
                <w:color w:val="7D5A00"/>
                <w:sz w:val="20"/>
                <w:szCs w:val="20"/>
              </w:rPr>
              <w:t xml:space="preserve">We Care by treating personal information with the same respect and sensitivity we bring to our relationships with every child and family</w:t>
            </w:r>
          </w:p>
          <w:p>
            <w:pPr>
              <w:pStyle w:val="ListParagraph"/>
              <w:numPr>
                <w:ilvl w:val="0"/>
                <w:numId w:val="2"/>
              </w:numPr>
              <w:spacing w:after="60"/>
            </w:pPr>
            <w:r>
              <w:rPr>
                <w:rFonts w:ascii="Arial" w:cs="Arial" w:eastAsia="Arial" w:hAnsi="Arial"/>
                <w:i/>
                <w:iCs/>
                <w:color w:val="7D5A00"/>
                <w:sz w:val="20"/>
                <w:szCs w:val="20"/>
              </w:rPr>
              <w:t xml:space="preserve">We Challenge ourselves to maintain the highest standards of data security and to continuously improve how we manage information</w:t>
            </w:r>
          </w:p>
          <w:p>
            <w:pPr>
              <w:pStyle w:val="ListParagraph"/>
              <w:numPr>
                <w:ilvl w:val="0"/>
                <w:numId w:val="2"/>
              </w:numPr>
              <w:spacing w:after="60"/>
            </w:pPr>
            <w:r>
              <w:rPr>
                <w:rFonts w:ascii="Arial" w:cs="Arial" w:eastAsia="Arial" w:hAnsi="Arial"/>
                <w:i/>
                <w:iCs/>
                <w:color w:val="7D5A00"/>
                <w:sz w:val="20"/>
                <w:szCs w:val="20"/>
              </w:rPr>
              <w:t xml:space="preserve">We Celebrate a culture of transparency — we are open about how we use personal data and we support the rights of individuals to access and control their own information</w:t>
            </w:r>
          </w:p>
        </w:tc>
      </w:tr>
    </w:tbl>
    <w:p>
      <w:pPr>
        <w:spacing w:after="160"/>
      </w:pPr>
      <w:r>
        <w:t xml:space="preserve"/>
      </w:r>
    </w:p>
    <w:p>
      <w:pPr>
        <w:spacing w:after="140" w:before="280"/>
      </w:pPr>
      <w:r>
        <w:rPr>
          <w:rFonts w:ascii="Arial" w:cs="Arial" w:eastAsia="Arial" w:hAnsi="Arial"/>
          <w:b/>
          <w:bCs/>
          <w:color w:val="1F2D6E"/>
          <w:sz w:val="26"/>
          <w:szCs w:val="26"/>
        </w:rPr>
        <w:t xml:space="preserve">Our Data Protection Officer (DPO)</w:t>
      </w:r>
    </w:p>
    <w:p>
      <w:pPr>
        <w:spacing w:after="140"/>
      </w:pPr>
      <w:r>
        <w:rPr>
          <w:rFonts w:ascii="Arial" w:cs="Arial" w:eastAsia="Arial" w:hAnsi="Arial"/>
          <w:sz w:val="22"/>
          <w:szCs w:val="22"/>
        </w:rPr>
        <w:t xml:space="preserve">All schools are required by law to appoint a Data Protection Officer. Ashdon Primary School’s DPO is:</w:t>
      </w:r>
    </w:p>
    <w:p>
      <w:pPr>
        <w:spacing w:after="8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Borders>
              <w:top w:val="single" w:color="CCCCCC" w:sz="1"/>
              <w:left w:val="single" w:color="CCCCCC" w:sz="1"/>
              <w:bottom w:val="single" w:color="CCCCCC" w:sz="1"/>
              <w:right w:val="single" w:color="CCCCCC" w:sz="1"/>
            </w:tcBorders>
            <w:shd w:fill="D6E4F0" w:val="clear"/>
            <w:tcMar>
              <w:top w:type="dxa" w:w="120"/>
              <w:left w:type="dxa" w:w="200"/>
              <w:bottom w:type="dxa" w:w="120"/>
              <w:right w:type="dxa" w:w="200"/>
            </w:tcMar>
          </w:tcPr>
          <w:p>
            <w:pPr>
              <w:spacing w:after="80"/>
            </w:pPr>
            <w:r>
              <w:rPr>
                <w:rFonts w:ascii="Arial" w:cs="Arial" w:eastAsia="Arial" w:hAnsi="Arial"/>
                <w:b/>
                <w:bCs/>
                <w:color w:val="1F2D6E"/>
                <w:sz w:val="22"/>
                <w:szCs w:val="22"/>
              </w:rPr>
              <w:t xml:space="preserve">Information Governance Support (IGS)</w:t>
            </w:r>
          </w:p>
          <w:p>
            <w:pPr>
              <w:spacing w:after="80"/>
            </w:pPr>
            <w:r>
              <w:rPr>
                <w:rFonts w:ascii="Arial" w:cs="Arial" w:eastAsia="Arial" w:hAnsi="Arial"/>
                <w:sz w:val="22"/>
                <w:szCs w:val="22"/>
              </w:rPr>
              <w:t xml:space="preserve">Email: igs@essex.gov.uk</w:t>
            </w:r>
          </w:p>
          <w:p>
            <w:pPr>
              <w:spacing w:after="80"/>
            </w:pPr>
            <w:r>
              <w:rPr>
                <w:rFonts w:ascii="Arial" w:cs="Arial" w:eastAsia="Arial" w:hAnsi="Arial"/>
                <w:sz w:val="22"/>
                <w:szCs w:val="22"/>
              </w:rPr>
              <w:t xml:space="preserve">Telephone: 03330 322970</w:t>
            </w:r>
          </w:p>
          <w:p>
            <w:pPr>
              <w:spacing w:after="80"/>
            </w:pPr>
            <w:r>
              <w:rPr>
                <w:rFonts w:ascii="Arial" w:cs="Arial" w:eastAsia="Arial" w:hAnsi="Arial"/>
                <w:sz w:val="22"/>
                <w:szCs w:val="22"/>
              </w:rPr>
              <w:t xml:space="preserve">Website: igs.essex.gov.uk</w:t>
            </w:r>
          </w:p>
          <w:p>
            <w:pPr>
              <w:spacing w:after="80"/>
            </w:pPr>
            <w:r>
              <w:rPr>
                <w:rFonts w:ascii="Arial" w:cs="Arial" w:eastAsia="Arial" w:hAnsi="Arial"/>
                <w:sz w:val="22"/>
                <w:szCs w:val="22"/>
              </w:rPr>
              <w:t xml:space="preserve">Address: Essex County Council, County Hall, Chelmsford, Essex, CM1 1QH</w:t>
            </w:r>
          </w:p>
        </w:tc>
      </w:tr>
    </w:tbl>
    <w:p>
      <w:pPr>
        <w:spacing w:after="80"/>
      </w:pPr>
      <w:r>
        <w:t xml:space="preserve"/>
      </w:r>
    </w:p>
    <w:p>
      <w:pPr>
        <w:spacing w:after="140"/>
      </w:pPr>
      <w:r>
        <w:rPr>
          <w:rFonts w:ascii="Arial" w:cs="Arial" w:eastAsia="Arial" w:hAnsi="Arial"/>
          <w:sz w:val="22"/>
          <w:szCs w:val="22"/>
        </w:rPr>
        <w:t xml:space="preserve">The DPO is responsible for advising the school on its data protection obligations, monitoring compliance with data protection law and acting as the point of contact with the Information Commissioner’s Office (ICO). The DPO must not be given instructions on how to carry out this role and cannot be penalised for performing it.</w:t>
      </w:r>
    </w:p>
    <w:p>
      <w:pPr>
        <w:spacing w:after="140"/>
      </w:pPr>
      <w:r>
        <w:rPr>
          <w:rFonts w:ascii="Arial" w:cs="Arial" w:eastAsia="Arial" w:hAnsi="Arial"/>
          <w:sz w:val="22"/>
          <w:szCs w:val="22"/>
        </w:rPr>
        <w:t xml:space="preserve">Any member of staff or member of the public with a query about data protection should contact the DPO using the details above.</w:t>
      </w:r>
    </w:p>
    <w:p>
      <w:pPr>
        <w:spacing w:after="160"/>
      </w:pPr>
      <w:r>
        <w:t xml:space="preserve"/>
      </w:r>
    </w:p>
    <w:p>
      <w:pPr>
        <w:spacing w:after="140" w:before="280"/>
      </w:pPr>
      <w:r>
        <w:rPr>
          <w:rFonts w:ascii="Arial" w:cs="Arial" w:eastAsia="Arial" w:hAnsi="Arial"/>
          <w:b/>
          <w:bCs/>
          <w:color w:val="1F2D6E"/>
          <w:sz w:val="26"/>
          <w:szCs w:val="26"/>
        </w:rPr>
        <w:t xml:space="preserve">Legislative Framework</w:t>
      </w:r>
    </w:p>
    <w:p>
      <w:pPr>
        <w:spacing w:after="140"/>
      </w:pPr>
      <w:r>
        <w:rPr>
          <w:rFonts w:ascii="Arial" w:cs="Arial" w:eastAsia="Arial" w:hAnsi="Arial"/>
          <w:sz w:val="22"/>
          <w:szCs w:val="22"/>
        </w:rPr>
        <w:t xml:space="preserve">This policy is underpinned by the following legislation and guidance:</w:t>
      </w:r>
    </w:p>
    <w:p>
      <w:pPr>
        <w:pStyle w:val="ListParagraph"/>
        <w:numPr>
          <w:ilvl w:val="0"/>
          <w:numId w:val="2"/>
        </w:numPr>
        <w:spacing w:after="80"/>
      </w:pPr>
      <w:r>
        <w:rPr>
          <w:rFonts w:ascii="Arial" w:cs="Arial" w:eastAsia="Arial" w:hAnsi="Arial"/>
          <w:sz w:val="22"/>
          <w:szCs w:val="22"/>
        </w:rPr>
        <w:t xml:space="preserve">UK General Data Protection Regulation (UK GDPR) — the primary data protection law, setting out the principles, rights and obligations that apply to the processing of personal data</w:t>
      </w:r>
    </w:p>
    <w:p>
      <w:pPr>
        <w:pStyle w:val="ListParagraph"/>
        <w:numPr>
          <w:ilvl w:val="0"/>
          <w:numId w:val="2"/>
        </w:numPr>
        <w:spacing w:after="80"/>
      </w:pPr>
      <w:r>
        <w:rPr>
          <w:rFonts w:ascii="Arial" w:cs="Arial" w:eastAsia="Arial" w:hAnsi="Arial"/>
          <w:sz w:val="22"/>
          <w:szCs w:val="22"/>
        </w:rPr>
        <w:t xml:space="preserve">Data Protection Act 2018 (DPA 2018) — supplements the UK GDPR and provides specific provisions for the education sector</w:t>
      </w:r>
    </w:p>
    <w:p>
      <w:pPr>
        <w:pStyle w:val="ListParagraph"/>
        <w:numPr>
          <w:ilvl w:val="0"/>
          <w:numId w:val="2"/>
        </w:numPr>
        <w:spacing w:after="80"/>
      </w:pPr>
      <w:r>
        <w:rPr>
          <w:rFonts w:ascii="Arial" w:cs="Arial" w:eastAsia="Arial" w:hAnsi="Arial"/>
          <w:sz w:val="22"/>
          <w:szCs w:val="22"/>
        </w:rPr>
        <w:t xml:space="preserve">Data Use and Access Act 2025 (DUAA) — updates the framework for data sharing and access, including new provisions for data intermediaries and smart data schemes. Schools must ensure their data sharing practices comply with this updated framework</w:t>
      </w:r>
    </w:p>
    <w:p>
      <w:pPr>
        <w:pStyle w:val="ListParagraph"/>
        <w:numPr>
          <w:ilvl w:val="0"/>
          <w:numId w:val="2"/>
        </w:numPr>
        <w:spacing w:after="80"/>
      </w:pPr>
      <w:r>
        <w:rPr>
          <w:rFonts w:ascii="Arial" w:cs="Arial" w:eastAsia="Arial" w:hAnsi="Arial"/>
          <w:sz w:val="22"/>
          <w:szCs w:val="22"/>
        </w:rPr>
        <w:t xml:space="preserve">Human Rights Act 1998, Article 8 — the right to respect for private and family life</w:t>
      </w:r>
    </w:p>
    <w:p>
      <w:pPr>
        <w:pStyle w:val="ListParagraph"/>
        <w:numPr>
          <w:ilvl w:val="0"/>
          <w:numId w:val="2"/>
        </w:numPr>
        <w:spacing w:after="80"/>
      </w:pPr>
      <w:r>
        <w:rPr>
          <w:rFonts w:ascii="Arial" w:cs="Arial" w:eastAsia="Arial" w:hAnsi="Arial"/>
          <w:sz w:val="22"/>
          <w:szCs w:val="22"/>
        </w:rPr>
        <w:t xml:space="preserve">Freedom of Information Act 2000 — applies to requests for information held by the school that is not personal data</w:t>
      </w:r>
    </w:p>
    <w:p>
      <w:pPr>
        <w:pStyle w:val="ListParagraph"/>
        <w:numPr>
          <w:ilvl w:val="0"/>
          <w:numId w:val="2"/>
        </w:numPr>
        <w:spacing w:after="80"/>
      </w:pPr>
      <w:r>
        <w:rPr>
          <w:rFonts w:ascii="Arial" w:cs="Arial" w:eastAsia="Arial" w:hAnsi="Arial"/>
          <w:sz w:val="22"/>
          <w:szCs w:val="22"/>
        </w:rPr>
        <w:t xml:space="preserve">Investigatory Powers Act 2016 — governs surveillance and monitoring activities</w:t>
      </w:r>
    </w:p>
    <w:p>
      <w:pPr>
        <w:pStyle w:val="ListParagraph"/>
        <w:numPr>
          <w:ilvl w:val="0"/>
          <w:numId w:val="2"/>
        </w:numPr>
        <w:spacing w:after="80"/>
      </w:pPr>
      <w:r>
        <w:rPr>
          <w:rFonts w:ascii="Arial" w:cs="Arial" w:eastAsia="Arial" w:hAnsi="Arial"/>
          <w:sz w:val="22"/>
          <w:szCs w:val="22"/>
        </w:rPr>
        <w:t xml:space="preserve">Privacy and Electronic Communications Regulations 2003 — governs electronic marketing and communications</w:t>
      </w:r>
    </w:p>
    <w:p>
      <w:pPr>
        <w:pStyle w:val="ListParagraph"/>
        <w:numPr>
          <w:ilvl w:val="0"/>
          <w:numId w:val="2"/>
        </w:numPr>
        <w:spacing w:after="80"/>
      </w:pPr>
      <w:r>
        <w:rPr>
          <w:rFonts w:ascii="Arial" w:cs="Arial" w:eastAsia="Arial" w:hAnsi="Arial"/>
          <w:sz w:val="22"/>
          <w:szCs w:val="22"/>
        </w:rPr>
        <w:t xml:space="preserve">Equality Act 2010 — relevant to the processing of special category data</w:t>
      </w:r>
    </w:p>
    <w:p>
      <w:pPr>
        <w:pStyle w:val="ListParagraph"/>
        <w:numPr>
          <w:ilvl w:val="0"/>
          <w:numId w:val="2"/>
        </w:numPr>
        <w:spacing w:after="80"/>
      </w:pPr>
      <w:r>
        <w:rPr>
          <w:rFonts w:ascii="Arial" w:cs="Arial" w:eastAsia="Arial" w:hAnsi="Arial"/>
          <w:sz w:val="22"/>
          <w:szCs w:val="22"/>
        </w:rPr>
        <w:t xml:space="preserve">Education (Pupil Information) (England) Regulations 2005 — governs access to pupil records</w:t>
      </w:r>
    </w:p>
    <w:p>
      <w:pPr>
        <w:spacing w:after="160"/>
      </w:pPr>
      <w:r>
        <w:t xml:space="preserve"/>
      </w:r>
    </w:p>
    <w:p>
      <w:pPr>
        <w:spacing w:after="140" w:before="280"/>
      </w:pPr>
      <w:r>
        <w:rPr>
          <w:rFonts w:ascii="Arial" w:cs="Arial" w:eastAsia="Arial" w:hAnsi="Arial"/>
          <w:b/>
          <w:bCs/>
          <w:color w:val="1F2D6E"/>
          <w:sz w:val="26"/>
          <w:szCs w:val="26"/>
        </w:rPr>
        <w:t xml:space="preserve">Data Protection Principles</w:t>
      </w:r>
    </w:p>
    <w:p>
      <w:pPr>
        <w:spacing w:after="140"/>
      </w:pPr>
      <w:r>
        <w:rPr>
          <w:rFonts w:ascii="Arial" w:cs="Arial" w:eastAsia="Arial" w:hAnsi="Arial"/>
          <w:sz w:val="22"/>
          <w:szCs w:val="22"/>
        </w:rPr>
        <w:t xml:space="preserve">The UK GDPR sets out seven principles that govern how personal data must be processed. All staff must be aware of these principles and apply them in their work:</w:t>
      </w:r>
    </w:p>
    <w:p>
      <w:pPr>
        <w:pStyle w:val="ListParagraph"/>
        <w:numPr>
          <w:ilvl w:val="0"/>
          <w:numId w:val="2"/>
        </w:numPr>
        <w:spacing w:after="80"/>
      </w:pPr>
      <w:r>
        <w:rPr>
          <w:rFonts w:ascii="Arial" w:cs="Arial" w:eastAsia="Arial" w:hAnsi="Arial"/>
          <w:b/>
          <w:bCs/>
          <w:sz w:val="22"/>
          <w:szCs w:val="22"/>
        </w:rPr>
        <w:t xml:space="preserve">Lawfulness, fairness and transparency — </w:t>
      </w:r>
      <w:r>
        <w:rPr>
          <w:rFonts w:ascii="Arial" w:cs="Arial" w:eastAsia="Arial" w:hAnsi="Arial"/>
          <w:sz w:val="22"/>
          <w:szCs w:val="22"/>
        </w:rPr>
        <w:t xml:space="preserve">Personal data must be processed lawfully, fairly and in a transparent manner.</w:t>
      </w:r>
    </w:p>
    <w:p>
      <w:pPr>
        <w:pStyle w:val="ListParagraph"/>
        <w:numPr>
          <w:ilvl w:val="0"/>
          <w:numId w:val="2"/>
        </w:numPr>
        <w:spacing w:after="80"/>
      </w:pPr>
      <w:r>
        <w:rPr>
          <w:rFonts w:ascii="Arial" w:cs="Arial" w:eastAsia="Arial" w:hAnsi="Arial"/>
          <w:b/>
          <w:bCs/>
          <w:sz w:val="22"/>
          <w:szCs w:val="22"/>
        </w:rPr>
        <w:t xml:space="preserve">Purpose limitation — </w:t>
      </w:r>
      <w:r>
        <w:rPr>
          <w:rFonts w:ascii="Arial" w:cs="Arial" w:eastAsia="Arial" w:hAnsi="Arial"/>
          <w:sz w:val="22"/>
          <w:szCs w:val="22"/>
        </w:rPr>
        <w:t xml:space="preserve">Personal data must be collected for specified, explicit and legitimate purposes and not further processed in a manner incompatible with those purposes.</w:t>
      </w:r>
    </w:p>
    <w:p>
      <w:pPr>
        <w:pStyle w:val="ListParagraph"/>
        <w:numPr>
          <w:ilvl w:val="0"/>
          <w:numId w:val="2"/>
        </w:numPr>
        <w:spacing w:after="80"/>
      </w:pPr>
      <w:r>
        <w:rPr>
          <w:rFonts w:ascii="Arial" w:cs="Arial" w:eastAsia="Arial" w:hAnsi="Arial"/>
          <w:b/>
          <w:bCs/>
          <w:sz w:val="22"/>
          <w:szCs w:val="22"/>
        </w:rPr>
        <w:t xml:space="preserve">Data minimisation — </w:t>
      </w:r>
      <w:r>
        <w:rPr>
          <w:rFonts w:ascii="Arial" w:cs="Arial" w:eastAsia="Arial" w:hAnsi="Arial"/>
          <w:sz w:val="22"/>
          <w:szCs w:val="22"/>
        </w:rPr>
        <w:t xml:space="preserve">Personal data must be adequate, relevant and limited to what is necessary in relation to the purposes for which it is processed.</w:t>
      </w:r>
    </w:p>
    <w:p>
      <w:pPr>
        <w:pStyle w:val="ListParagraph"/>
        <w:numPr>
          <w:ilvl w:val="0"/>
          <w:numId w:val="2"/>
        </w:numPr>
        <w:spacing w:after="80"/>
      </w:pPr>
      <w:r>
        <w:rPr>
          <w:rFonts w:ascii="Arial" w:cs="Arial" w:eastAsia="Arial" w:hAnsi="Arial"/>
          <w:b/>
          <w:bCs/>
          <w:sz w:val="22"/>
          <w:szCs w:val="22"/>
        </w:rPr>
        <w:t xml:space="preserve">Accuracy — </w:t>
      </w:r>
      <w:r>
        <w:rPr>
          <w:rFonts w:ascii="Arial" w:cs="Arial" w:eastAsia="Arial" w:hAnsi="Arial"/>
          <w:sz w:val="22"/>
          <w:szCs w:val="22"/>
        </w:rPr>
        <w:t xml:space="preserve">Personal data must be accurate and, where necessary, kept up to date. Inaccurate data must be corrected or erased without delay.</w:t>
      </w:r>
    </w:p>
    <w:p>
      <w:pPr>
        <w:pStyle w:val="ListParagraph"/>
        <w:numPr>
          <w:ilvl w:val="0"/>
          <w:numId w:val="2"/>
        </w:numPr>
        <w:spacing w:after="80"/>
      </w:pPr>
      <w:r>
        <w:rPr>
          <w:rFonts w:ascii="Arial" w:cs="Arial" w:eastAsia="Arial" w:hAnsi="Arial"/>
          <w:b/>
          <w:bCs/>
          <w:sz w:val="22"/>
          <w:szCs w:val="22"/>
        </w:rPr>
        <w:t xml:space="preserve">Storage limitation — </w:t>
      </w:r>
      <w:r>
        <w:rPr>
          <w:rFonts w:ascii="Arial" w:cs="Arial" w:eastAsia="Arial" w:hAnsi="Arial"/>
          <w:sz w:val="22"/>
          <w:szCs w:val="22"/>
        </w:rPr>
        <w:t xml:space="preserve">Personal data must be kept in a form which permits identification of data subjects for no longer than is necessary.</w:t>
      </w:r>
    </w:p>
    <w:p>
      <w:pPr>
        <w:pStyle w:val="ListParagraph"/>
        <w:numPr>
          <w:ilvl w:val="0"/>
          <w:numId w:val="2"/>
        </w:numPr>
        <w:spacing w:after="80"/>
      </w:pPr>
      <w:r>
        <w:rPr>
          <w:rFonts w:ascii="Arial" w:cs="Arial" w:eastAsia="Arial" w:hAnsi="Arial"/>
          <w:b/>
          <w:bCs/>
          <w:sz w:val="22"/>
          <w:szCs w:val="22"/>
        </w:rPr>
        <w:t xml:space="preserve">Integrity and confidentiality — </w:t>
      </w:r>
      <w:r>
        <w:rPr>
          <w:rFonts w:ascii="Arial" w:cs="Arial" w:eastAsia="Arial" w:hAnsi="Arial"/>
          <w:sz w:val="22"/>
          <w:szCs w:val="22"/>
        </w:rPr>
        <w:t xml:space="preserve">Personal data must be processed in a manner that ensures appropriate security, including protection against unauthorised or unlawful processing and accidental loss, destruction or damage.</w:t>
      </w:r>
    </w:p>
    <w:p>
      <w:pPr>
        <w:pStyle w:val="ListParagraph"/>
        <w:numPr>
          <w:ilvl w:val="0"/>
          <w:numId w:val="2"/>
        </w:numPr>
        <w:spacing w:after="80"/>
      </w:pPr>
      <w:r>
        <w:rPr>
          <w:rFonts w:ascii="Arial" w:cs="Arial" w:eastAsia="Arial" w:hAnsi="Arial"/>
          <w:b/>
          <w:bCs/>
          <w:sz w:val="22"/>
          <w:szCs w:val="22"/>
        </w:rPr>
        <w:t xml:space="preserve">Accountability — </w:t>
      </w:r>
      <w:r>
        <w:rPr>
          <w:rFonts w:ascii="Arial" w:cs="Arial" w:eastAsia="Arial" w:hAnsi="Arial"/>
          <w:sz w:val="22"/>
          <w:szCs w:val="22"/>
        </w:rPr>
        <w:t xml:space="preserve">The school, as data controller, is responsible for demonstrating compliance with these principles.</w:t>
      </w:r>
    </w:p>
    <w:p>
      <w:pPr>
        <w:spacing w:after="160"/>
      </w:pPr>
      <w:r>
        <w:t xml:space="preserve"/>
      </w:r>
    </w:p>
    <w:p>
      <w:pPr>
        <w:spacing w:after="140" w:before="280"/>
      </w:pPr>
      <w:r>
        <w:rPr>
          <w:rFonts w:ascii="Arial" w:cs="Arial" w:eastAsia="Arial" w:hAnsi="Arial"/>
          <w:b/>
          <w:bCs/>
          <w:color w:val="1F2D6E"/>
          <w:sz w:val="26"/>
          <w:szCs w:val="26"/>
        </w:rPr>
        <w:t xml:space="preserve">Policy Rules</w:t>
      </w:r>
    </w:p>
    <w:p>
      <w:pPr>
        <w:spacing w:after="140"/>
      </w:pPr>
      <w:r>
        <w:rPr>
          <w:rFonts w:ascii="Arial" w:cs="Arial" w:eastAsia="Arial" w:hAnsi="Arial"/>
          <w:sz w:val="22"/>
          <w:szCs w:val="22"/>
        </w:rPr>
        <w:t xml:space="preserve">All staff, governors, contractors and volunteers must comply with the following rules when processing personal data on behalf of the school:</w:t>
      </w:r>
    </w:p>
    <w:p>
      <w:pPr>
        <w:spacing w:after="100" w:before="180"/>
      </w:pPr>
      <w:r>
        <w:rPr>
          <w:rFonts w:ascii="Arial" w:cs="Arial" w:eastAsia="Arial" w:hAnsi="Arial"/>
          <w:b/>
          <w:bCs/>
          <w:color w:val="2E75B6"/>
          <w:sz w:val="23"/>
          <w:szCs w:val="23"/>
        </w:rPr>
        <w:t xml:space="preserve">General Requirements</w:t>
      </w:r>
    </w:p>
    <w:p>
      <w:pPr>
        <w:pStyle w:val="ListParagraph"/>
        <w:numPr>
          <w:ilvl w:val="0"/>
          <w:numId w:val="2"/>
        </w:numPr>
        <w:spacing w:after="80"/>
      </w:pPr>
      <w:r>
        <w:rPr>
          <w:rFonts w:ascii="Arial" w:cs="Arial" w:eastAsia="Arial" w:hAnsi="Arial"/>
          <w:sz w:val="22"/>
          <w:szCs w:val="22"/>
        </w:rPr>
        <w:t xml:space="preserve">All employees must comply with the requirements of UK GDPR, the Data Protection Act 2018, the Data Use and Access Act 2025 and Article 8 of the Human Rights Act when processing the personal data of living individuals</w:t>
      </w:r>
    </w:p>
    <w:p>
      <w:pPr>
        <w:pStyle w:val="ListParagraph"/>
        <w:numPr>
          <w:ilvl w:val="0"/>
          <w:numId w:val="2"/>
        </w:numPr>
        <w:spacing w:after="80"/>
      </w:pPr>
      <w:r>
        <w:rPr>
          <w:rFonts w:ascii="Arial" w:cs="Arial" w:eastAsia="Arial" w:hAnsi="Arial"/>
          <w:sz w:val="22"/>
          <w:szCs w:val="22"/>
        </w:rPr>
        <w:t xml:space="preserve">Where personal data is used, data subjects must have access to a complete and current Privacy Notice</w:t>
      </w:r>
    </w:p>
    <w:p>
      <w:pPr>
        <w:pStyle w:val="ListParagraph"/>
        <w:numPr>
          <w:ilvl w:val="0"/>
          <w:numId w:val="2"/>
        </w:numPr>
        <w:spacing w:after="80"/>
      </w:pPr>
      <w:r>
        <w:rPr>
          <w:rFonts w:ascii="Arial" w:cs="Arial" w:eastAsia="Arial" w:hAnsi="Arial"/>
          <w:sz w:val="22"/>
          <w:szCs w:val="22"/>
        </w:rPr>
        <w:t xml:space="preserve">We must formally assess the risk to privacy rights introduced by any new or changed system or process involving personal data, by completing a Data Protection Impact Assessment (DPIA)</w:t>
      </w:r>
    </w:p>
    <w:p>
      <w:pPr>
        <w:pStyle w:val="ListParagraph"/>
        <w:numPr>
          <w:ilvl w:val="0"/>
          <w:numId w:val="2"/>
        </w:numPr>
        <w:spacing w:after="80"/>
      </w:pPr>
      <w:r>
        <w:rPr>
          <w:rFonts w:ascii="Arial" w:cs="Arial" w:eastAsia="Arial" w:hAnsi="Arial"/>
          <w:sz w:val="22"/>
          <w:szCs w:val="22"/>
        </w:rPr>
        <w:t xml:space="preserve">We must process only the minimum amount of personal data necessary to deliver our services</w:t>
      </w:r>
    </w:p>
    <w:p>
      <w:pPr>
        <w:spacing w:after="100" w:before="180"/>
      </w:pPr>
      <w:r>
        <w:rPr>
          <w:rFonts w:ascii="Arial" w:cs="Arial" w:eastAsia="Arial" w:hAnsi="Arial"/>
          <w:b/>
          <w:bCs/>
          <w:color w:val="2E75B6"/>
          <w:sz w:val="23"/>
          <w:szCs w:val="23"/>
        </w:rPr>
        <w:t xml:space="preserve">Accuracy and Record Keeping</w:t>
      </w:r>
    </w:p>
    <w:p>
      <w:pPr>
        <w:pStyle w:val="ListParagraph"/>
        <w:numPr>
          <w:ilvl w:val="0"/>
          <w:numId w:val="2"/>
        </w:numPr>
        <w:spacing w:after="80"/>
      </w:pPr>
      <w:r>
        <w:rPr>
          <w:rFonts w:ascii="Arial" w:cs="Arial" w:eastAsia="Arial" w:hAnsi="Arial"/>
          <w:sz w:val="22"/>
          <w:szCs w:val="22"/>
        </w:rPr>
        <w:t xml:space="preserve">All employees who record opinions or intentions about pupils, parents or staff must do so carefully and professionally, distinguishing clearly between fact and opinion</w:t>
      </w:r>
    </w:p>
    <w:p>
      <w:pPr>
        <w:pStyle w:val="ListParagraph"/>
        <w:numPr>
          <w:ilvl w:val="0"/>
          <w:numId w:val="2"/>
        </w:numPr>
        <w:spacing w:after="80"/>
      </w:pPr>
      <w:r>
        <w:rPr>
          <w:rFonts w:ascii="Arial" w:cs="Arial" w:eastAsia="Arial" w:hAnsi="Arial"/>
          <w:sz w:val="22"/>
          <w:szCs w:val="22"/>
        </w:rPr>
        <w:t xml:space="preserve">We must take reasonable steps to ensure the personal data we hold is accurate, up to date and not misleading</w:t>
      </w:r>
    </w:p>
    <w:p>
      <w:pPr>
        <w:pStyle w:val="ListParagraph"/>
        <w:numPr>
          <w:ilvl w:val="0"/>
          <w:numId w:val="2"/>
        </w:numPr>
        <w:spacing w:after="80"/>
      </w:pPr>
      <w:r>
        <w:rPr>
          <w:rFonts w:ascii="Arial" w:cs="Arial" w:eastAsia="Arial" w:hAnsi="Arial"/>
          <w:sz w:val="22"/>
          <w:szCs w:val="22"/>
        </w:rPr>
        <w:t xml:space="preserve">We must ensure that the personal data we process is reviewed and destroyed when it is no longer necessary, in line with our Retention Schedule</w:t>
      </w:r>
    </w:p>
    <w:p>
      <w:pPr>
        <w:spacing w:after="100" w:before="180"/>
      </w:pPr>
      <w:r>
        <w:rPr>
          <w:rFonts w:ascii="Arial" w:cs="Arial" w:eastAsia="Arial" w:hAnsi="Arial"/>
          <w:b/>
          <w:bCs/>
          <w:color w:val="2E75B6"/>
          <w:sz w:val="23"/>
          <w:szCs w:val="23"/>
        </w:rPr>
        <w:t xml:space="preserve">Rights of Data Subjects</w:t>
      </w:r>
    </w:p>
    <w:p>
      <w:pPr>
        <w:pStyle w:val="ListParagraph"/>
        <w:numPr>
          <w:ilvl w:val="0"/>
          <w:numId w:val="2"/>
        </w:numPr>
        <w:spacing w:after="80"/>
      </w:pPr>
      <w:r>
        <w:rPr>
          <w:rFonts w:ascii="Arial" w:cs="Arial" w:eastAsia="Arial" w:hAnsi="Arial"/>
          <w:sz w:val="22"/>
          <w:szCs w:val="22"/>
        </w:rPr>
        <w:t xml:space="preserve">If we receive a request from a member of the public or colleague asking to receive a copy of their personal data, we must handle it as a Subject Access Request under the Data Protection Act 2018, or as a request for the Education Record under the Education (Pupil Information) (England) Regulations 2005</w:t>
      </w:r>
    </w:p>
    <w:p>
      <w:pPr>
        <w:pStyle w:val="ListParagraph"/>
        <w:numPr>
          <w:ilvl w:val="0"/>
          <w:numId w:val="2"/>
        </w:numPr>
        <w:spacing w:after="80"/>
      </w:pPr>
      <w:r>
        <w:rPr>
          <w:rFonts w:ascii="Arial" w:cs="Arial" w:eastAsia="Arial" w:hAnsi="Arial"/>
          <w:sz w:val="22"/>
          <w:szCs w:val="22"/>
        </w:rPr>
        <w:t xml:space="preserve">If we receive a request from anyone asking to access the personal data of someone other than themselves, we must fully consider data protection law before disclosing it</w:t>
      </w:r>
    </w:p>
    <w:p>
      <w:pPr>
        <w:pStyle w:val="ListParagraph"/>
        <w:numPr>
          <w:ilvl w:val="0"/>
          <w:numId w:val="2"/>
        </w:numPr>
        <w:spacing w:after="80"/>
      </w:pPr>
      <w:r>
        <w:rPr>
          <w:rFonts w:ascii="Arial" w:cs="Arial" w:eastAsia="Arial" w:hAnsi="Arial"/>
          <w:sz w:val="22"/>
          <w:szCs w:val="22"/>
        </w:rPr>
        <w:t xml:space="preserve">When someone contacts us to request a change to the way we are processing their personal data, we must fully consider their rights under data protection law</w:t>
      </w:r>
    </w:p>
    <w:p>
      <w:pPr>
        <w:spacing w:after="100" w:before="180"/>
      </w:pPr>
      <w:r>
        <w:rPr>
          <w:rFonts w:ascii="Arial" w:cs="Arial" w:eastAsia="Arial" w:hAnsi="Arial"/>
          <w:b/>
          <w:bCs/>
          <w:color w:val="2E75B6"/>
          <w:sz w:val="23"/>
          <w:szCs w:val="23"/>
        </w:rPr>
        <w:t xml:space="preserve">Access and Security</w:t>
      </w:r>
    </w:p>
    <w:p>
      <w:pPr>
        <w:pStyle w:val="ListParagraph"/>
        <w:numPr>
          <w:ilvl w:val="0"/>
          <w:numId w:val="2"/>
        </w:numPr>
        <w:spacing w:after="80"/>
      </w:pPr>
      <w:r>
        <w:rPr>
          <w:rFonts w:ascii="Arial" w:cs="Arial" w:eastAsia="Arial" w:hAnsi="Arial"/>
          <w:sz w:val="22"/>
          <w:szCs w:val="22"/>
        </w:rPr>
        <w:t xml:space="preserve">You must not access personal data which you have no right to view</w:t>
      </w:r>
    </w:p>
    <w:p>
      <w:pPr>
        <w:pStyle w:val="ListParagraph"/>
        <w:numPr>
          <w:ilvl w:val="0"/>
          <w:numId w:val="2"/>
        </w:numPr>
        <w:spacing w:after="80"/>
      </w:pPr>
      <w:r>
        <w:rPr>
          <w:rFonts w:ascii="Arial" w:cs="Arial" w:eastAsia="Arial" w:hAnsi="Arial"/>
          <w:sz w:val="22"/>
          <w:szCs w:val="22"/>
        </w:rPr>
        <w:t xml:space="preserve">You must follow system user guidance and formal processes to ensure that only those with a business need to access personal data are able to do so</w:t>
      </w:r>
    </w:p>
    <w:p>
      <w:pPr>
        <w:pStyle w:val="ListParagraph"/>
        <w:numPr>
          <w:ilvl w:val="0"/>
          <w:numId w:val="2"/>
        </w:numPr>
        <w:spacing w:after="80"/>
      </w:pPr>
      <w:r>
        <w:rPr>
          <w:rFonts w:ascii="Arial" w:cs="Arial" w:eastAsia="Arial" w:hAnsi="Arial"/>
          <w:sz w:val="22"/>
          <w:szCs w:val="22"/>
        </w:rPr>
        <w:t xml:space="preserve">You must only share personal data with external bodies who request it if there is a current agreement in place or it is approved by the DPO</w:t>
      </w:r>
    </w:p>
    <w:p>
      <w:pPr>
        <w:pStyle w:val="ListParagraph"/>
        <w:numPr>
          <w:ilvl w:val="0"/>
          <w:numId w:val="2"/>
        </w:numPr>
        <w:spacing w:after="80"/>
      </w:pPr>
      <w:r>
        <w:rPr>
          <w:rFonts w:ascii="Arial" w:cs="Arial" w:eastAsia="Arial" w:hAnsi="Arial"/>
          <w:sz w:val="22"/>
          <w:szCs w:val="22"/>
        </w:rPr>
        <w:t xml:space="preserve">Where the content of telephone calls, emails, internet activity and video images of employees and the public is recorded, monitored or disclosed, this must be done in compliance with the law and the ICO’s Code of Practice. This activity is considered to be surveillance</w:t>
      </w:r>
    </w:p>
    <w:p>
      <w:pPr>
        <w:spacing w:after="100" w:before="180"/>
      </w:pPr>
      <w:r>
        <w:rPr>
          <w:rFonts w:ascii="Arial" w:cs="Arial" w:eastAsia="Arial" w:hAnsi="Arial"/>
          <w:b/>
          <w:bCs/>
          <w:color w:val="2E75B6"/>
          <w:sz w:val="23"/>
          <w:szCs w:val="23"/>
        </w:rPr>
        <w:t xml:space="preserve">Consent</w:t>
      </w:r>
    </w:p>
    <w:p>
      <w:pPr>
        <w:pStyle w:val="ListParagraph"/>
        <w:numPr>
          <w:ilvl w:val="0"/>
          <w:numId w:val="2"/>
        </w:numPr>
        <w:spacing w:after="80"/>
      </w:pPr>
      <w:r>
        <w:rPr>
          <w:rFonts w:ascii="Arial" w:cs="Arial" w:eastAsia="Arial" w:hAnsi="Arial"/>
          <w:sz w:val="22"/>
          <w:szCs w:val="22"/>
        </w:rPr>
        <w:t xml:space="preserve">We must rely on consent as a condition for processing personal data only if there is no relevant legal power or other condition</w:t>
      </w:r>
    </w:p>
    <w:p>
      <w:pPr>
        <w:pStyle w:val="ListParagraph"/>
        <w:numPr>
          <w:ilvl w:val="0"/>
          <w:numId w:val="2"/>
        </w:numPr>
        <w:spacing w:after="80"/>
      </w:pPr>
      <w:r>
        <w:rPr>
          <w:rFonts w:ascii="Arial" w:cs="Arial" w:eastAsia="Arial" w:hAnsi="Arial"/>
          <w:sz w:val="22"/>
          <w:szCs w:val="22"/>
        </w:rPr>
        <w:t xml:space="preserve">Consent must be obtained if personal data is to be used for promoting or marketing goods and services, unless we have statutory duties to promote them</w:t>
      </w:r>
    </w:p>
    <w:p>
      <w:pPr>
        <w:pStyle w:val="ListParagraph"/>
        <w:numPr>
          <w:ilvl w:val="0"/>
          <w:numId w:val="2"/>
        </w:numPr>
        <w:spacing w:after="80"/>
      </w:pPr>
      <w:r>
        <w:rPr>
          <w:rFonts w:ascii="Arial" w:cs="Arial" w:eastAsia="Arial" w:hAnsi="Arial"/>
          <w:sz w:val="22"/>
          <w:szCs w:val="22"/>
        </w:rPr>
        <w:t xml:space="preserve">Consent will expire at the end of each Key Stage period unless it is reconfirmed</w:t>
      </w:r>
    </w:p>
    <w:p>
      <w:pPr>
        <w:spacing w:after="100" w:before="180"/>
      </w:pPr>
      <w:r>
        <w:rPr>
          <w:rFonts w:ascii="Arial" w:cs="Arial" w:eastAsia="Arial" w:hAnsi="Arial"/>
          <w:b/>
          <w:bCs/>
          <w:color w:val="2E75B6"/>
          <w:sz w:val="23"/>
          <w:szCs w:val="23"/>
        </w:rPr>
        <w:t xml:space="preserve">Training</w:t>
      </w:r>
    </w:p>
    <w:p>
      <w:pPr>
        <w:pStyle w:val="ListParagraph"/>
        <w:numPr>
          <w:ilvl w:val="0"/>
          <w:numId w:val="2"/>
        </w:numPr>
        <w:spacing w:after="80"/>
      </w:pPr>
      <w:r>
        <w:rPr>
          <w:rFonts w:ascii="Arial" w:cs="Arial" w:eastAsia="Arial" w:hAnsi="Arial"/>
          <w:sz w:val="22"/>
          <w:szCs w:val="22"/>
        </w:rPr>
        <w:t xml:space="preserve">All employees must be trained to an appropriate level, based on their roles and responsibilities, to be able to handle personal data securely. Training must be regularly refreshed to ensure knowledge remains current</w:t>
      </w:r>
    </w:p>
    <w:p>
      <w:pPr>
        <w:pStyle w:val="ListParagraph"/>
        <w:numPr>
          <w:ilvl w:val="0"/>
          <w:numId w:val="2"/>
        </w:numPr>
        <w:spacing w:after="80"/>
      </w:pPr>
      <w:r>
        <w:rPr>
          <w:rFonts w:ascii="Arial" w:cs="Arial" w:eastAsia="Arial" w:hAnsi="Arial"/>
          <w:sz w:val="22"/>
          <w:szCs w:val="22"/>
        </w:rPr>
        <w:t xml:space="preserve">New staff receive data protection training as part of their induction</w:t>
      </w:r>
    </w:p>
    <w:p>
      <w:pPr>
        <w:spacing w:after="100" w:before="180"/>
      </w:pPr>
      <w:r>
        <w:rPr>
          <w:rFonts w:ascii="Arial" w:cs="Arial" w:eastAsia="Arial" w:hAnsi="Arial"/>
          <w:b/>
          <w:bCs/>
          <w:color w:val="2E75B6"/>
          <w:sz w:val="23"/>
          <w:szCs w:val="23"/>
        </w:rPr>
        <w:t xml:space="preserve">Data Matching</w:t>
      </w:r>
    </w:p>
    <w:p>
      <w:pPr>
        <w:pStyle w:val="ListParagraph"/>
        <w:numPr>
          <w:ilvl w:val="0"/>
          <w:numId w:val="2"/>
        </w:numPr>
        <w:spacing w:after="80"/>
      </w:pPr>
      <w:r>
        <w:rPr>
          <w:rFonts w:ascii="Arial" w:cs="Arial" w:eastAsia="Arial" w:hAnsi="Arial"/>
          <w:sz w:val="22"/>
          <w:szCs w:val="22"/>
        </w:rPr>
        <w:t xml:space="preserve">When using data matching techniques, this must only be done for specific purposes in line with formal codes of practice, informing pupils, parents or staff of the details, their legal rights and obtaining consent where appropriate</w:t>
      </w:r>
    </w:p>
    <w:p>
      <w:pPr>
        <w:spacing w:after="100" w:before="180"/>
      </w:pPr>
      <w:r>
        <w:rPr>
          <w:rFonts w:ascii="Arial" w:cs="Arial" w:eastAsia="Arial" w:hAnsi="Arial"/>
          <w:b/>
          <w:bCs/>
          <w:color w:val="2E75B6"/>
          <w:sz w:val="23"/>
          <w:szCs w:val="23"/>
        </w:rPr>
        <w:t xml:space="preserve">International Transfers</w:t>
      </w:r>
    </w:p>
    <w:p>
      <w:pPr>
        <w:pStyle w:val="ListParagraph"/>
        <w:numPr>
          <w:ilvl w:val="0"/>
          <w:numId w:val="2"/>
        </w:numPr>
        <w:spacing w:after="80"/>
      </w:pPr>
      <w:r>
        <w:rPr>
          <w:rFonts w:ascii="Arial" w:cs="Arial" w:eastAsia="Arial" w:hAnsi="Arial"/>
          <w:sz w:val="22"/>
          <w:szCs w:val="22"/>
        </w:rPr>
        <w:t xml:space="preserve">You must not share any personal data held by us with an individual or organisation based in any country outside of the United Kingdom without seeking advice from the DPO</w:t>
      </w:r>
    </w:p>
    <w:p>
      <w:pPr>
        <w:spacing w:after="100" w:before="180"/>
      </w:pPr>
      <w:r>
        <w:rPr>
          <w:rFonts w:ascii="Arial" w:cs="Arial" w:eastAsia="Arial" w:hAnsi="Arial"/>
          <w:b/>
          <w:bCs/>
          <w:color w:val="2E75B6"/>
          <w:sz w:val="23"/>
          <w:szCs w:val="23"/>
        </w:rPr>
        <w:t xml:space="preserve">Special Category Data</w:t>
      </w:r>
    </w:p>
    <w:p>
      <w:pPr>
        <w:pStyle w:val="ListParagraph"/>
        <w:numPr>
          <w:ilvl w:val="0"/>
          <w:numId w:val="2"/>
        </w:numPr>
        <w:spacing w:after="80"/>
      </w:pPr>
      <w:r>
        <w:rPr>
          <w:rFonts w:ascii="Arial" w:cs="Arial" w:eastAsia="Arial" w:hAnsi="Arial"/>
          <w:sz w:val="22"/>
          <w:szCs w:val="22"/>
        </w:rPr>
        <w:t xml:space="preserve">We must identify Special Categories of personal data and ensure it is handled with appropriate security and is only accessible to authorised persons</w:t>
      </w:r>
    </w:p>
    <w:p>
      <w:pPr>
        <w:pStyle w:val="ListParagraph"/>
        <w:numPr>
          <w:ilvl w:val="0"/>
          <w:numId w:val="2"/>
        </w:numPr>
        <w:spacing w:after="80"/>
      </w:pPr>
      <w:r>
        <w:rPr>
          <w:rFonts w:ascii="Arial" w:cs="Arial" w:eastAsia="Arial" w:hAnsi="Arial"/>
          <w:sz w:val="22"/>
          <w:szCs w:val="22"/>
        </w:rPr>
        <w:t xml:space="preserve">When sending Special Category data to an external person or organisation, it should be marked as “OFFICIAL-SENSITIVE” and, where possible, sent by a secure method</w:t>
      </w:r>
    </w:p>
    <w:p>
      <w:pPr>
        <w:spacing w:after="100" w:before="180"/>
      </w:pPr>
      <w:r>
        <w:rPr>
          <w:rFonts w:ascii="Arial" w:cs="Arial" w:eastAsia="Arial" w:hAnsi="Arial"/>
          <w:b/>
          <w:bCs/>
          <w:color w:val="2E75B6"/>
          <w:sz w:val="23"/>
          <w:szCs w:val="23"/>
        </w:rPr>
        <w:t xml:space="preserve">Artificial Intelligence</w:t>
      </w:r>
    </w:p>
    <w:p>
      <w:pPr>
        <w:pStyle w:val="ListParagraph"/>
        <w:numPr>
          <w:ilvl w:val="0"/>
          <w:numId w:val="2"/>
        </w:numPr>
        <w:spacing w:after="80"/>
      </w:pPr>
      <w:r>
        <w:rPr>
          <w:rFonts w:ascii="Arial" w:cs="Arial" w:eastAsia="Arial" w:hAnsi="Arial"/>
          <w:sz w:val="22"/>
          <w:szCs w:val="22"/>
        </w:rPr>
        <w:t xml:space="preserve">When considering the use of artificial intelligence involving the use or creation of personal data, this can only be done with approval from the DPO</w:t>
      </w:r>
    </w:p>
    <w:p>
      <w:pPr>
        <w:pStyle w:val="ListParagraph"/>
        <w:numPr>
          <w:ilvl w:val="0"/>
          <w:numId w:val="2"/>
        </w:numPr>
        <w:spacing w:after="80"/>
      </w:pPr>
      <w:r>
        <w:rPr>
          <w:rFonts w:ascii="Arial" w:cs="Arial" w:eastAsia="Arial" w:hAnsi="Arial"/>
          <w:sz w:val="22"/>
          <w:szCs w:val="22"/>
        </w:rPr>
        <w:t xml:space="preserve">Staff must not input personal data about pupils, families or staff into any AI tool or platform without prior DPO approval and a completed DPIA</w:t>
      </w:r>
    </w:p>
    <w:p>
      <w:pPr>
        <w:pStyle w:val="ListParagraph"/>
        <w:numPr>
          <w:ilvl w:val="0"/>
          <w:numId w:val="2"/>
        </w:numPr>
        <w:spacing w:after="80"/>
      </w:pPr>
      <w:r>
        <w:rPr>
          <w:rFonts w:ascii="Arial" w:cs="Arial" w:eastAsia="Arial" w:hAnsi="Arial"/>
          <w:sz w:val="22"/>
          <w:szCs w:val="22"/>
        </w:rPr>
        <w:t xml:space="preserve">AI-generated outputs that include personal data must be handled with the same care as any other personal data</w:t>
      </w:r>
    </w:p>
    <w:p>
      <w:pPr>
        <w:spacing w:after="100" w:before="180"/>
      </w:pPr>
      <w:r>
        <w:rPr>
          <w:rFonts w:ascii="Arial" w:cs="Arial" w:eastAsia="Arial" w:hAnsi="Arial"/>
          <w:b/>
          <w:bCs/>
          <w:color w:val="2E75B6"/>
          <w:sz w:val="23"/>
          <w:szCs w:val="23"/>
        </w:rPr>
        <w:t xml:space="preserve">Data Breach</w:t>
      </w:r>
    </w:p>
    <w:p>
      <w:pPr>
        <w:pStyle w:val="ListParagraph"/>
        <w:numPr>
          <w:ilvl w:val="0"/>
          <w:numId w:val="2"/>
        </w:numPr>
        <w:spacing w:after="80"/>
      </w:pPr>
      <w:r>
        <w:rPr>
          <w:rFonts w:ascii="Arial" w:cs="Arial" w:eastAsia="Arial" w:hAnsi="Arial"/>
          <w:sz w:val="22"/>
          <w:szCs w:val="22"/>
        </w:rPr>
        <w:t xml:space="preserve">Any actual or suspected data breach must be reported to the DPO immediately</w:t>
      </w:r>
    </w:p>
    <w:p>
      <w:pPr>
        <w:pStyle w:val="ListParagraph"/>
        <w:numPr>
          <w:ilvl w:val="0"/>
          <w:numId w:val="2"/>
        </w:numPr>
        <w:spacing w:after="80"/>
      </w:pPr>
      <w:r>
        <w:rPr>
          <w:rFonts w:ascii="Arial" w:cs="Arial" w:eastAsia="Arial" w:hAnsi="Arial"/>
          <w:sz w:val="22"/>
          <w:szCs w:val="22"/>
        </w:rPr>
        <w:t xml:space="preserve">The DPO will assess whether the breach must be reported to the ICO within 72 hours</w:t>
      </w:r>
    </w:p>
    <w:p>
      <w:pPr>
        <w:pStyle w:val="ListParagraph"/>
        <w:numPr>
          <w:ilvl w:val="0"/>
          <w:numId w:val="2"/>
        </w:numPr>
        <w:spacing w:after="80"/>
      </w:pPr>
      <w:r>
        <w:rPr>
          <w:rFonts w:ascii="Arial" w:cs="Arial" w:eastAsia="Arial" w:hAnsi="Arial"/>
          <w:sz w:val="22"/>
          <w:szCs w:val="22"/>
        </w:rPr>
        <w:t xml:space="preserve">Where a breach is likely to result in a high risk to individuals, those individuals must also be informed without undue delay</w:t>
      </w:r>
    </w:p>
    <w:p>
      <w:pPr>
        <w:pStyle w:val="ListParagraph"/>
        <w:numPr>
          <w:ilvl w:val="0"/>
          <w:numId w:val="2"/>
        </w:numPr>
        <w:spacing w:after="80"/>
      </w:pPr>
      <w:r>
        <w:rPr>
          <w:rFonts w:ascii="Arial" w:cs="Arial" w:eastAsia="Arial" w:hAnsi="Arial"/>
          <w:sz w:val="22"/>
          <w:szCs w:val="22"/>
        </w:rPr>
        <w:t xml:space="preserve">All breaches are recorded in the school’s Data Breach Log regardless of whether they are reportable</w:t>
      </w:r>
    </w:p>
    <w:p>
      <w:pPr>
        <w:spacing w:after="160"/>
      </w:pPr>
      <w:r>
        <w:t xml:space="preserve"/>
      </w:r>
    </w:p>
    <w:p>
      <w:pPr>
        <w:spacing w:after="140" w:before="280"/>
      </w:pPr>
      <w:r>
        <w:rPr>
          <w:rFonts w:ascii="Arial" w:cs="Arial" w:eastAsia="Arial" w:hAnsi="Arial"/>
          <w:b/>
          <w:bCs/>
          <w:color w:val="1F2D6E"/>
          <w:sz w:val="26"/>
          <w:szCs w:val="26"/>
        </w:rPr>
        <w:t xml:space="preserve">ICO Registration</w:t>
      </w:r>
    </w:p>
    <w:p>
      <w:pPr>
        <w:spacing w:after="140"/>
      </w:pPr>
      <w:r>
        <w:rPr>
          <w:rFonts w:ascii="Arial" w:cs="Arial" w:eastAsia="Arial" w:hAnsi="Arial"/>
          <w:sz w:val="22"/>
          <w:szCs w:val="22"/>
        </w:rPr>
        <w:t xml:space="preserve">The school pays an annual Data Protection Fee to the Information Commissioner’s Office (ICO) as required by law. This registration is maintained by the school office and renewed each year.</w:t>
      </w:r>
    </w:p>
    <w:p>
      <w:pPr>
        <w:spacing w:after="160"/>
      </w:pPr>
      <w:r>
        <w:t xml:space="preserve"/>
      </w:r>
    </w:p>
    <w:p>
      <w:pPr>
        <w:spacing w:after="140" w:before="280"/>
      </w:pPr>
      <w:r>
        <w:rPr>
          <w:rFonts w:ascii="Arial" w:cs="Arial" w:eastAsia="Arial" w:hAnsi="Arial"/>
          <w:b/>
          <w:bCs/>
          <w:color w:val="1F2D6E"/>
          <w:sz w:val="26"/>
          <w:szCs w:val="26"/>
        </w:rPr>
        <w:t xml:space="preserve">Related Policies and Procedures</w:t>
      </w:r>
    </w:p>
    <w:p>
      <w:pPr>
        <w:spacing w:after="140"/>
      </w:pPr>
      <w:r>
        <w:rPr>
          <w:rFonts w:ascii="Arial" w:cs="Arial" w:eastAsia="Arial" w:hAnsi="Arial"/>
          <w:sz w:val="22"/>
          <w:szCs w:val="22"/>
        </w:rPr>
        <w:t xml:space="preserve">This policy is supported by the following documents, which together form the school’s information governance framework provided by IGS:</w:t>
      </w:r>
    </w:p>
    <w:p>
      <w:pPr>
        <w:pStyle w:val="ListParagraph"/>
        <w:numPr>
          <w:ilvl w:val="0"/>
          <w:numId w:val="2"/>
        </w:numPr>
        <w:spacing w:after="80"/>
      </w:pPr>
      <w:r>
        <w:rPr>
          <w:rFonts w:ascii="Arial" w:cs="Arial" w:eastAsia="Arial" w:hAnsi="Arial"/>
          <w:sz w:val="22"/>
          <w:szCs w:val="22"/>
        </w:rPr>
        <w:t xml:space="preserve">Statutory Requests Policy</w:t>
      </w:r>
    </w:p>
    <w:p>
      <w:pPr>
        <w:pStyle w:val="ListParagraph"/>
        <w:numPr>
          <w:ilvl w:val="0"/>
          <w:numId w:val="2"/>
        </w:numPr>
        <w:spacing w:after="80"/>
      </w:pPr>
      <w:r>
        <w:rPr>
          <w:rFonts w:ascii="Arial" w:cs="Arial" w:eastAsia="Arial" w:hAnsi="Arial"/>
          <w:sz w:val="22"/>
          <w:szCs w:val="22"/>
        </w:rPr>
        <w:t xml:space="preserve">Data Handling Security Policy</w:t>
      </w:r>
    </w:p>
    <w:p>
      <w:pPr>
        <w:pStyle w:val="ListParagraph"/>
        <w:numPr>
          <w:ilvl w:val="0"/>
          <w:numId w:val="2"/>
        </w:numPr>
        <w:spacing w:after="80"/>
      </w:pPr>
      <w:r>
        <w:rPr>
          <w:rFonts w:ascii="Arial" w:cs="Arial" w:eastAsia="Arial" w:hAnsi="Arial"/>
          <w:sz w:val="22"/>
          <w:szCs w:val="22"/>
        </w:rPr>
        <w:t xml:space="preserve">Data Breach Policy</w:t>
      </w:r>
    </w:p>
    <w:p>
      <w:pPr>
        <w:pStyle w:val="ListParagraph"/>
        <w:numPr>
          <w:ilvl w:val="0"/>
          <w:numId w:val="2"/>
        </w:numPr>
        <w:spacing w:after="80"/>
      </w:pPr>
      <w:r>
        <w:rPr>
          <w:rFonts w:ascii="Arial" w:cs="Arial" w:eastAsia="Arial" w:hAnsi="Arial"/>
          <w:sz w:val="22"/>
          <w:szCs w:val="22"/>
        </w:rPr>
        <w:t xml:space="preserve">Records Management Policy and Retention Schedule</w:t>
      </w:r>
    </w:p>
    <w:p>
      <w:pPr>
        <w:pStyle w:val="ListParagraph"/>
        <w:numPr>
          <w:ilvl w:val="0"/>
          <w:numId w:val="2"/>
        </w:numPr>
        <w:spacing w:after="80"/>
      </w:pPr>
      <w:r>
        <w:rPr>
          <w:rFonts w:ascii="Arial" w:cs="Arial" w:eastAsia="Arial" w:hAnsi="Arial"/>
          <w:sz w:val="22"/>
          <w:szCs w:val="22"/>
        </w:rPr>
        <w:t xml:space="preserve">Privacy Notice Procedure</w:t>
      </w:r>
    </w:p>
    <w:p>
      <w:pPr>
        <w:pStyle w:val="ListParagraph"/>
        <w:numPr>
          <w:ilvl w:val="0"/>
          <w:numId w:val="2"/>
        </w:numPr>
        <w:spacing w:after="80"/>
      </w:pPr>
      <w:r>
        <w:rPr>
          <w:rFonts w:ascii="Arial" w:cs="Arial" w:eastAsia="Arial" w:hAnsi="Arial"/>
          <w:sz w:val="22"/>
          <w:szCs w:val="22"/>
        </w:rPr>
        <w:t xml:space="preserve">Data Protection Rights Procedure</w:t>
      </w:r>
    </w:p>
    <w:p>
      <w:pPr>
        <w:pStyle w:val="ListParagraph"/>
        <w:numPr>
          <w:ilvl w:val="0"/>
          <w:numId w:val="2"/>
        </w:numPr>
        <w:spacing w:after="80"/>
      </w:pPr>
      <w:r>
        <w:rPr>
          <w:rFonts w:ascii="Arial" w:cs="Arial" w:eastAsia="Arial" w:hAnsi="Arial"/>
          <w:sz w:val="22"/>
          <w:szCs w:val="22"/>
        </w:rPr>
        <w:t xml:space="preserve">Subject Access Request Procedure</w:t>
      </w:r>
    </w:p>
    <w:p>
      <w:pPr>
        <w:pStyle w:val="ListParagraph"/>
        <w:numPr>
          <w:ilvl w:val="0"/>
          <w:numId w:val="2"/>
        </w:numPr>
        <w:spacing w:after="80"/>
      </w:pPr>
      <w:r>
        <w:rPr>
          <w:rFonts w:ascii="Arial" w:cs="Arial" w:eastAsia="Arial" w:hAnsi="Arial"/>
          <w:sz w:val="22"/>
          <w:szCs w:val="22"/>
        </w:rPr>
        <w:t xml:space="preserve">Data Sharing Procedure</w:t>
      </w:r>
    </w:p>
    <w:p>
      <w:pPr>
        <w:pStyle w:val="ListParagraph"/>
        <w:numPr>
          <w:ilvl w:val="0"/>
          <w:numId w:val="2"/>
        </w:numPr>
        <w:spacing w:after="80"/>
      </w:pPr>
      <w:r>
        <w:rPr>
          <w:rFonts w:ascii="Arial" w:cs="Arial" w:eastAsia="Arial" w:hAnsi="Arial"/>
          <w:sz w:val="22"/>
          <w:szCs w:val="22"/>
        </w:rPr>
        <w:t xml:space="preserve">Consent Procedure</w:t>
      </w:r>
    </w:p>
    <w:p>
      <w:pPr>
        <w:pStyle w:val="ListParagraph"/>
        <w:numPr>
          <w:ilvl w:val="0"/>
          <w:numId w:val="2"/>
        </w:numPr>
        <w:spacing w:after="80"/>
      </w:pPr>
      <w:r>
        <w:rPr>
          <w:rFonts w:ascii="Arial" w:cs="Arial" w:eastAsia="Arial" w:hAnsi="Arial"/>
          <w:sz w:val="22"/>
          <w:szCs w:val="22"/>
        </w:rPr>
        <w:t xml:space="preserve">Minimisation of Personal Data Procedure</w:t>
      </w:r>
    </w:p>
    <w:p>
      <w:pPr>
        <w:pStyle w:val="ListParagraph"/>
        <w:numPr>
          <w:ilvl w:val="0"/>
          <w:numId w:val="2"/>
        </w:numPr>
        <w:spacing w:after="80"/>
      </w:pPr>
      <w:r>
        <w:rPr>
          <w:rFonts w:ascii="Arial" w:cs="Arial" w:eastAsia="Arial" w:hAnsi="Arial"/>
          <w:sz w:val="22"/>
          <w:szCs w:val="22"/>
        </w:rPr>
        <w:t xml:space="preserve">Surveillance Procedure</w:t>
      </w:r>
    </w:p>
    <w:p>
      <w:pPr>
        <w:pStyle w:val="ListParagraph"/>
        <w:numPr>
          <w:ilvl w:val="0"/>
          <w:numId w:val="2"/>
        </w:numPr>
        <w:spacing w:after="80"/>
      </w:pPr>
      <w:r>
        <w:rPr>
          <w:rFonts w:ascii="Arial" w:cs="Arial" w:eastAsia="Arial" w:hAnsi="Arial"/>
          <w:sz w:val="22"/>
          <w:szCs w:val="22"/>
        </w:rPr>
        <w:t xml:space="preserve">Training and Awareness Procedure</w:t>
      </w:r>
    </w:p>
    <w:p>
      <w:pPr>
        <w:pStyle w:val="ListParagraph"/>
        <w:numPr>
          <w:ilvl w:val="0"/>
          <w:numId w:val="2"/>
        </w:numPr>
        <w:spacing w:after="80"/>
      </w:pPr>
      <w:r>
        <w:rPr>
          <w:rFonts w:ascii="Arial" w:cs="Arial" w:eastAsia="Arial" w:hAnsi="Arial"/>
          <w:sz w:val="22"/>
          <w:szCs w:val="22"/>
        </w:rPr>
        <w:t xml:space="preserve">Overseas Transfers and Hosting Guidance</w:t>
      </w:r>
    </w:p>
    <w:p>
      <w:pPr>
        <w:pStyle w:val="ListParagraph"/>
        <w:numPr>
          <w:ilvl w:val="0"/>
          <w:numId w:val="2"/>
        </w:numPr>
        <w:spacing w:after="80"/>
      </w:pPr>
      <w:r>
        <w:rPr>
          <w:rFonts w:ascii="Arial" w:cs="Arial" w:eastAsia="Arial" w:hAnsi="Arial"/>
          <w:sz w:val="22"/>
          <w:szCs w:val="22"/>
        </w:rPr>
        <w:t xml:space="preserve">Generative Artificial Intelligence Policy (where AI tools are used by the school)</w:t>
      </w:r>
    </w:p>
    <w:p>
      <w:pPr>
        <w:spacing w:after="80"/>
      </w:pPr>
      <w:r>
        <w:t xml:space="preserve"/>
      </w:r>
    </w:p>
    <w:p>
      <w:pPr>
        <w:spacing w:after="140"/>
      </w:pPr>
      <w:r>
        <w:rPr>
          <w:rFonts w:ascii="Arial" w:cs="Arial" w:eastAsia="Arial" w:hAnsi="Arial"/>
          <w:sz w:val="22"/>
          <w:szCs w:val="22"/>
        </w:rPr>
        <w:t xml:space="preserve">If you are unsure how to comply with any aspect of this policy, you must seek advice and guidance from the DPO at igs@essex.gov.uk or 03330 322970.</w:t>
      </w:r>
    </w:p>
    <w:p>
      <w:pPr>
        <w:spacing w:after="160"/>
      </w:pPr>
      <w:r>
        <w:t xml:space="preserve"/>
      </w:r>
    </w:p>
    <w:p>
      <w:pPr>
        <w:spacing w:after="140" w:before="280"/>
      </w:pPr>
      <w:r>
        <w:rPr>
          <w:rFonts w:ascii="Arial" w:cs="Arial" w:eastAsia="Arial" w:hAnsi="Arial"/>
          <w:b/>
          <w:bCs/>
          <w:color w:val="1F2D6E"/>
          <w:sz w:val="26"/>
          <w:szCs w:val="26"/>
        </w:rPr>
        <w:t xml:space="preserve">Exceptions</w:t>
      </w:r>
    </w:p>
    <w:p>
      <w:pPr>
        <w:spacing w:after="140"/>
      </w:pPr>
      <w:r>
        <w:rPr>
          <w:rFonts w:ascii="Arial" w:cs="Arial" w:eastAsia="Arial" w:hAnsi="Arial"/>
          <w:sz w:val="22"/>
          <w:szCs w:val="22"/>
        </w:rPr>
        <w:t xml:space="preserve">If you believe you have a valid business reason for an exception to any of the requirements in this policy, having read and understood the reasons why they are in place, please raise a formal request by contacting the school office. Exceptions must be approved by the DPO.</w:t>
      </w:r>
    </w:p>
    <w:p>
      <w:pPr>
        <w:spacing w:after="160"/>
      </w:pPr>
      <w:r>
        <w:t xml:space="preserve"/>
      </w:r>
    </w:p>
    <w:p>
      <w:pPr>
        <w:spacing w:after="140" w:before="280"/>
      </w:pPr>
      <w:r>
        <w:rPr>
          <w:rFonts w:ascii="Arial" w:cs="Arial" w:eastAsia="Arial" w:hAnsi="Arial"/>
          <w:b/>
          <w:bCs/>
          <w:color w:val="1F2D6E"/>
          <w:sz w:val="26"/>
          <w:szCs w:val="26"/>
        </w:rPr>
        <w:t xml:space="preserve">Breach of This Policy</w:t>
      </w:r>
    </w:p>
    <w:p>
      <w:pPr>
        <w:spacing w:after="140"/>
      </w:pPr>
      <w:r>
        <w:rPr>
          <w:rFonts w:ascii="Arial" w:cs="Arial" w:eastAsia="Arial" w:hAnsi="Arial"/>
          <w:sz w:val="22"/>
          <w:szCs w:val="22"/>
        </w:rPr>
        <w:t xml:space="preserve">Breaches of this policy will be investigated and may result in disciplinary action. Serious breaches may be considered gross misconduct and result in dismissal without notice, or legal action being taken. Breaches may also be reported to the ICO, which has powers to impose significant financial penalties for non-compliance with data protection law.</w:t>
      </w:r>
    </w:p>
    <w:p>
      <w:pPr>
        <w:spacing w:after="160"/>
      </w:pPr>
      <w:r>
        <w:t xml:space="preserve"/>
      </w:r>
    </w:p>
    <w:p>
      <w:pPr>
        <w:spacing w:after="140" w:before="280"/>
      </w:pPr>
      <w:r>
        <w:rPr>
          <w:rFonts w:ascii="Arial" w:cs="Arial" w:eastAsia="Arial" w:hAnsi="Arial"/>
          <w:b/>
          <w:bCs/>
          <w:color w:val="1F2D6E"/>
          <w:sz w:val="26"/>
          <w:szCs w:val="26"/>
        </w:rPr>
        <w:t xml:space="preserve">Review</w:t>
      </w:r>
    </w:p>
    <w:p>
      <w:pPr>
        <w:spacing w:after="140"/>
      </w:pPr>
      <w:r>
        <w:rPr>
          <w:rFonts w:ascii="Arial" w:cs="Arial" w:eastAsia="Arial" w:hAnsi="Arial"/>
          <w:sz w:val="22"/>
          <w:szCs w:val="22"/>
        </w:rPr>
        <w:t xml:space="preserve">This policy will be reviewed annually by staff and the Governing Body, or sooner if legislation changes or a significant incident occurs. It is published on the school website in line with statutory requirements.</w:t>
      </w:r>
    </w:p>
    <w:p>
      <w:pPr>
        <w:spacing w:after="200"/>
      </w:pPr>
      <w:r>
        <w:t xml:space="preserve"/>
      </w:r>
    </w:p>
    <w:p>
      <w:pPr>
        <w:spacing w:after="80"/>
      </w:pPr>
      <w:r>
        <w:rPr>
          <w:rFonts w:ascii="Arial" w:cs="Arial" w:eastAsia="Arial" w:hAnsi="Arial"/>
          <w:b/>
          <w:bCs/>
          <w:sz w:val="22"/>
          <w:szCs w:val="22"/>
        </w:rPr>
        <w:t xml:space="preserve">Signed by:</w:t>
      </w:r>
    </w:p>
    <w:p>
      <w:pPr>
        <w:spacing w:after="80"/>
      </w:pPr>
      <w:r>
        <w:t xml:space="preserve"/>
      </w:r>
    </w:p>
    <w:p>
      <w:pPr>
        <w:spacing w:after="140"/>
      </w:pPr>
      <w:r>
        <w:rPr>
          <w:rFonts w:ascii="Arial" w:cs="Arial" w:eastAsia="Arial" w:hAnsi="Arial"/>
          <w:sz w:val="22"/>
          <w:szCs w:val="22"/>
        </w:rPr>
        <w:t xml:space="preserve">_________________________________</w:t>
      </w:r>
    </w:p>
    <w:p>
      <w:pPr>
        <w:spacing w:after="40"/>
      </w:pPr>
      <w:r>
        <w:t xml:space="preserve"/>
      </w:r>
    </w:p>
    <w:p>
      <w:pPr>
        <w:spacing w:after="80"/>
      </w:pPr>
      <w:r>
        <w:rPr>
          <w:rFonts w:ascii="Arial" w:cs="Arial" w:eastAsia="Arial" w:hAnsi="Arial"/>
          <w:b/>
          <w:bCs/>
          <w:sz w:val="22"/>
          <w:szCs w:val="22"/>
        </w:rPr>
        <w:t xml:space="preserve">The Chair of Governors</w:t>
      </w:r>
    </w:p>
    <w:p>
      <w:pPr>
        <w:spacing w:after="80"/>
      </w:pPr>
      <w:r>
        <w:t xml:space="preserve"/>
      </w:r>
    </w:p>
    <w:p>
      <w:pPr>
        <w:spacing w:after="80"/>
      </w:pPr>
      <w:r>
        <w:rPr>
          <w:rFonts w:ascii="Arial" w:cs="Arial" w:eastAsia="Arial" w:hAnsi="Arial"/>
          <w:b/>
          <w:bCs/>
          <w:sz w:val="22"/>
          <w:szCs w:val="22"/>
        </w:rPr>
        <w:t xml:space="preserve">Date: </w:t>
      </w:r>
      <w:r>
        <w:rPr>
          <w:rFonts w:ascii="Arial" w:cs="Arial" w:eastAsia="Arial" w:hAnsi="Arial"/>
          <w:sz w:val="22"/>
          <w:szCs w:val="22"/>
        </w:rPr>
        <w:t xml:space="preserve">_______________________________</w:t>
      </w:r>
    </w:p>
    <w:p>
      <w:pPr>
        <w:spacing w:after="80"/>
      </w:pPr>
      <w:r>
        <w:t xml:space="preserve"/>
      </w:r>
    </w:p>
    <w:p>
      <w:pPr>
        <w:spacing w:after="80"/>
      </w:pPr>
      <w:r>
        <w:rPr>
          <w:rFonts w:ascii="Arial" w:cs="Arial" w:eastAsia="Arial" w:hAnsi="Arial"/>
          <w:b/>
          <w:bCs/>
          <w:sz w:val="22"/>
          <w:szCs w:val="22"/>
        </w:rPr>
        <w:t xml:space="preserve">This policy will be reviewed annually</w:t>
      </w:r>
    </w:p>
    <w:sectPr>
      <w:footerReference w:type="default" r:id="rId7"/>
      <w:pgSz w:w="11906" w:h="16838" w:orient="portrait"/>
      <w:pgMar w:top="1260" w:right="1260" w:bottom="126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tabs>
        <w:tab w:val="right" w:pos="9026"/>
      </w:tabs>
    </w:pPr>
    <w:r>
      <w:rPr>
        <w:rFonts w:ascii="Arial" w:cs="Arial" w:eastAsia="Arial" w:hAnsi="Arial"/>
        <w:color w:val="595959"/>
        <w:sz w:val="18"/>
        <w:szCs w:val="18"/>
      </w:rPr>
      <w:t xml:space="preserve">Data Protection Policy  |  Review: December 2026</w:t>
    </w:r>
    <w:r>
      <w:rPr>
        <w:rFonts w:ascii="Arial" w:cs="Arial" w:eastAsia="Arial" w:hAnsi="Arial"/>
        <w:color w:val="595959"/>
        <w:sz w:val="18"/>
        <w:szCs w:val="18"/>
      </w:rPr>
      <w:t xml:space="preserve">	Page </w:t>
    </w:r>
    <w:r>
      <w:rPr>
        <w:rFonts w:ascii="Arial" w:cs="Arial" w:eastAsia="Arial" w:hAnsi="Arial"/>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9A697F-4CA0-4E32-9F64-A011430AD3E2}"/>
</file>

<file path=customXml/itemProps2.xml><?xml version="1.0" encoding="utf-8"?>
<ds:datastoreItem xmlns:ds="http://schemas.openxmlformats.org/officeDocument/2006/customXml" ds:itemID="{A272D13C-B7D7-4E05-8181-9ADD4C7C5AAF}"/>
</file>

<file path=customXml/itemProps3.xml><?xml version="1.0" encoding="utf-8"?>
<ds:datastoreItem xmlns:ds="http://schemas.openxmlformats.org/officeDocument/2006/customXml" ds:itemID="{6CA80E1B-8E88-4666-A054-927049A1DFE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2026-06-24T20:26:41Z</dcterms:created>
  <dcterms:modified xsi:type="dcterms:W3CDTF">2026-06-24T20:26:41Z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ies>
</file>